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1360"/>
      </w:pPr>
    </w:p>
    <w:p>
      <w:pPr>
        <w:pStyle w:val="MedKicker"/>
        <w:spacing w:after="320"/>
        <w:jc w:val="center"/>
      </w:pPr>
      <w:r>
        <w:t>NOTAS DE AULA • MEDICINA</w:t>
      </w:r>
    </w:p>
    <w:p>
      <w:pPr>
        <w:spacing w:after="200"/>
        <w:jc w:val="center"/>
      </w:pPr>
      <w:r>
        <w:rPr>
          <w:rFonts w:ascii="Calibri" w:hAnsi="Calibri" w:eastAsia="Calibri" w:cs="Calibri"/>
          <w:b/>
          <w:color w:val="2E74B5"/>
          <w:sz w:val="24"/>
        </w:rPr>
        <w:t>TRAUMA E TÓRAX</w:t>
      </w:r>
    </w:p>
    <w:p>
      <w:pPr>
        <w:pStyle w:val="Title"/>
        <w:spacing w:after="240"/>
        <w:jc w:val="center"/>
      </w:pPr>
      <w:r>
        <w:rPr>
          <w:rFonts w:ascii="Calibri" w:hAnsi="Calibri" w:eastAsia="Calibri" w:cs="Calibri"/>
          <w:b/>
          <w:color w:val="0B2545"/>
          <w:sz w:val="56"/>
        </w:rPr>
        <w:t>Guia de revisão — seis temas torácicos</w:t>
      </w:r>
    </w:p>
    <w:p>
      <w:pPr>
        <w:spacing w:after="920"/>
        <w:jc w:val="center"/>
      </w:pPr>
      <w:r>
        <w:t>Guia de revisão • seis temas torácicos</w:t>
      </w:r>
    </w:p>
    <w:p>
      <w:pPr>
        <w:pBdr>
          <w:bottom w:val="single" w:sz="4" w:space="6" w:color="2E74B5"/>
        </w:pBdr>
        <w:spacing w:after="280"/>
      </w:pPr>
    </w:p>
    <w:p>
      <w:pPr>
        <w:pStyle w:val="MedMetadata"/>
        <w:spacing w:after="60"/>
        <w:jc w:val="center"/>
      </w:pPr>
      <w:r>
        <w:rPr>
          <w:rFonts w:ascii="Calibri" w:hAnsi="Calibri" w:eastAsia="Calibri" w:cs="Calibri"/>
          <w:b/>
          <w:color w:val="0B2545"/>
          <w:sz w:val="20"/>
        </w:rPr>
        <w:t xml:space="preserve">Revisão: </w:t>
      </w:r>
      <w:r>
        <w:rPr>
          <w:rFonts w:ascii="Calibri" w:hAnsi="Calibri" w:eastAsia="Calibri" w:cs="Calibri"/>
          <w:color w:val="5D6874"/>
          <w:sz w:val="20"/>
        </w:rPr>
        <w:t>16/09/2026</w:t>
      </w:r>
    </w:p>
    <w:p>
      <w:r>
        <w:br w:type="page"/>
      </w:r>
    </w:p>
    <w:p>
      <w:pPr>
        <w:spacing w:after="280"/>
      </w:pPr>
      <w:r>
        <w:rPr>
          <w:rFonts w:ascii="Calibri" w:hAnsi="Calibri" w:eastAsia="Calibri" w:cs="Calibri"/>
          <w:b/>
          <w:color w:val="0B2545"/>
          <w:sz w:val="36"/>
        </w:rPr>
        <w:t>Sumário</w:t>
      </w:r>
    </w:p>
    <w:p>
      <w:pPr>
        <w:pStyle w:val="MedTOC1"/>
        <w:spacing w:after="100"/>
        <w:ind w:left="0"/>
      </w:pPr>
      <w:r>
        <w:t>Guia de revisão — seis temas torácicos</w:t>
      </w:r>
    </w:p>
    <w:p>
      <w:pPr>
        <w:pStyle w:val="MedTOC2"/>
        <w:spacing w:after="60"/>
        <w:ind w:left="346"/>
      </w:pPr>
      <w:r>
        <w:t>1. Traqueostomia</w:t>
      </w:r>
    </w:p>
    <w:p>
      <w:pPr>
        <w:pStyle w:val="MedTOC2"/>
        <w:spacing w:after="60"/>
        <w:ind w:left="346"/>
      </w:pPr>
      <w:r>
        <w:t>2. Trauma torácico</w:t>
      </w:r>
    </w:p>
    <w:p>
      <w:pPr>
        <w:pStyle w:val="MedTOC2"/>
        <w:spacing w:after="60"/>
        <w:ind w:left="346"/>
      </w:pPr>
      <w:r>
        <w:t>3. Derrame pleural</w:t>
      </w:r>
    </w:p>
    <w:p>
      <w:pPr>
        <w:pStyle w:val="MedTOC2"/>
        <w:spacing w:after="60"/>
        <w:ind w:left="346"/>
      </w:pPr>
      <w:r>
        <w:t>4. Neoplasia de pulmão</w:t>
      </w:r>
    </w:p>
    <w:p>
      <w:pPr>
        <w:pStyle w:val="MedTOC2"/>
        <w:spacing w:after="60"/>
        <w:ind w:left="346"/>
      </w:pPr>
      <w:r>
        <w:t>5. Pneumotórax</w:t>
      </w:r>
    </w:p>
    <w:p>
      <w:pPr>
        <w:pStyle w:val="MedTOC2"/>
        <w:spacing w:after="60"/>
        <w:ind w:left="346"/>
      </w:pPr>
      <w:r>
        <w:t>6. Anatomia e radiologia do pulmão</w:t>
      </w:r>
    </w:p>
    <w:p>
      <w:pPr>
        <w:pStyle w:val="MedTOC2"/>
        <w:spacing w:after="60"/>
        <w:ind w:left="346"/>
      </w:pPr>
      <w:r>
        <w:t>Revisão programada do conjunto</w:t>
      </w:r>
    </w:p>
    <w:p>
      <w:r>
        <w:br w:type="page"/>
      </w:r>
    </w:p>
    <w:bookmarkStart w:id="94" w:name="guia-de-revisão-seis-temas-torácicos"/>
    <w:p>
      <w:pPr>
        <w:pStyle w:val="Heading1"/>
        <w:keepNext/>
        <w:keepLines/>
      </w:pPr>
      <w:r>
        <w:t xml:space="preserve">Guia de revisão — seis temas torácicos</w:t>
      </w:r>
    </w:p>
    <w:p>
      <w:pPr>
        <w:pStyle w:val="FirstParagraph"/>
      </w:pPr>
      <w:r>
        <w:rPr>
          <w:b/>
          <w:bCs/>
        </w:rPr>
        <w:t xml:space="preserve">Caderno-base:</w:t>
      </w:r>
      <w:r>
        <w:t xml:space="preserve"> </w:t>
      </w:r>
      <w:hyperlink r:id="rId9">
        <w:r>
          <w:rPr>
            <w:rStyle w:val="Hyperlink"/>
          </w:rPr>
          <w:t xml:space="preserve">MED UERN – TRAUMA</w:t>
        </w:r>
      </w:hyperlink>
      <w:r>
        <w:t xml:space="preserve">.</w:t>
      </w:r>
      <w:r>
        <w:t xml:space="preserve"> </w:t>
      </w:r>
      <w:r>
        <w:rPr>
          <w:b/>
          <w:bCs/>
        </w:rPr>
        <w:t xml:space="preserve">Consulta:</w:t>
      </w:r>
      <w:r>
        <w:t xml:space="preserve"> </w:t>
      </w:r>
      <w:r>
        <w:t xml:space="preserve">16 de setembro de 2026.</w:t>
      </w:r>
      <w:r>
        <w:t xml:space="preserve"> </w:t>
      </w:r>
      <w:r>
        <w:rPr>
          <w:b/>
          <w:bCs/>
        </w:rPr>
        <w:t xml:space="preserve">Escopo:</w:t>
      </w:r>
      <w:r>
        <w:t xml:space="preserve"> </w:t>
      </w:r>
      <w:r>
        <w:t xml:space="preserve">revisão para prova e organização do raciocínio no plantão, sem questões.</w:t>
      </w:r>
    </w:p>
    <w:p>
      <w:pPr>
        <w:pStyle w:val="BodyText"/>
      </w:pPr>
      <w:r>
        <w:t xml:space="preserve">Este guia utiliza o levantamento fornecido e a consulta às fontes por meio do próprio NotebookLM. Não houve pesquisa na internet nem incorporação de recomendações externas. A consulta ao caderno é uma síntese assistida: não equivale à leitura integral dos livros. As referências identificam as seções efetivamente apontadas pelo caderno; não foram inventadas páginas nem atribuídos capítulos não confirmados.</w:t>
      </w:r>
    </w:p>
    <w:p>
      <w:pPr>
        <w:pStyle w:val="BodyText"/>
      </w:pPr>
      <w:r>
        <w:t xml:space="preserve">Cada tema foi organizado em três blocos de leitura para orientar uma futura diagramação em aproximadamente três páginas A4. Markdown não fixa paginação: o número final de páginas depende da fonte, margens e espaçamento. Os blocos preservam separados reconhecimento, anatomia, interpretação de imagem e decisão.</w:t>
      </w:r>
    </w:p>
    <w:p>
      <w:pPr>
        <w:pStyle w:val="BodyText"/>
      </w:pPr>
      <w:r>
        <w:rPr>
          <w:b/>
          <w:bCs/>
        </w:rPr>
        <w:t xml:space="preserve">Como interpretar os destaques:</w:t>
      </w:r>
      <w:r>
        <w:t xml:space="preserve"> </w:t>
      </w:r>
      <w:r>
        <w:t xml:space="preserve">critérios numéricos do levantamento são mantidos com suas unidades e contextos. Afirmações conflitantes ou cuja atribuição não foi confirmada aparecem como</w:t>
      </w:r>
      <w:r>
        <w:t xml:space="preserve"> </w:t>
      </w:r>
      <w:r>
        <w:rPr>
          <w:b/>
          <w:bCs/>
        </w:rPr>
        <w:t xml:space="preserve">divergência a revisar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ponto a conferir</w:t>
      </w:r>
      <w:r>
        <w:t xml:space="preserve">. Uma pista diagnóstica não foi transformada em confirmação isolada, e um limiar não foi transformado em decisão automática.</w:t>
      </w:r>
    </w:p>
    <w:p>
      <w:r>
        <w:pict>
          <v:rect style="width:0;height:1.5pt" o:hralign="center" o:hrstd="t" o:hr="t"/>
        </w:pict>
      </w:r>
    </w:p>
    <w:bookmarkStart w:id="22" w:name="traqueostomia"/>
    <w:p>
      <w:pPr>
        <w:pStyle w:val="Heading2"/>
        <w:keepNext/>
        <w:keepLines/>
        <w:pageBreakBefore/>
      </w:pPr>
      <w:r>
        <w:t xml:space="preserve">1. Traqueostomia</w:t>
      </w:r>
    </w:p>
    <w:bookmarkStart w:id="13" w:name="X51bb31721923155219363ecef98625e133f3fae"/>
    <w:p>
      <w:pPr>
        <w:pStyle w:val="Heading3"/>
        <w:keepNext/>
        <w:keepLines/>
      </w:pPr>
      <w:r>
        <w:t xml:space="preserve">Bloco 1 — objetivos, conceitos e reconhecimento</w:t>
      </w:r>
    </w:p>
    <w:bookmarkStart w:id="10" w:name="objetivos-de-aprendizagem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01"/>
        </w:numPr>
      </w:pPr>
      <w:r>
        <w:t xml:space="preserve">Distinguir a finalidade da traqueostomia do resgate por cricotireoidostomia.</w:t>
      </w:r>
    </w:p>
    <w:p>
      <w:pPr>
        <w:pStyle w:val="Compact"/>
        <w:numPr>
          <w:ilvl w:val="0"/>
          <w:numId w:val="1001"/>
        </w:numPr>
      </w:pPr>
      <w:r>
        <w:t xml:space="preserve">Organizar a avaliação da via aérea em dificuldade anatômica e fisiológica.</w:t>
      </w:r>
    </w:p>
    <w:p>
      <w:pPr>
        <w:pStyle w:val="Compact"/>
        <w:numPr>
          <w:ilvl w:val="0"/>
          <w:numId w:val="1001"/>
        </w:numPr>
      </w:pPr>
      <w:r>
        <w:t xml:space="preserve">Relacionar as estruturas cervicais às complicações do procedimento.</w:t>
      </w:r>
    </w:p>
    <w:p>
      <w:pPr>
        <w:pStyle w:val="Compact"/>
        <w:numPr>
          <w:ilvl w:val="0"/>
          <w:numId w:val="1001"/>
        </w:numPr>
      </w:pPr>
      <w:r>
        <w:t xml:space="preserve">Reconhecer sangramento sentinela, perda da via aérea e deterioração respiratória como prioridades.</w:t>
      </w:r>
    </w:p>
    <w:bookmarkEnd w:id="10"/>
    <w:bookmarkStart w:id="11" w:name="conceitos-essenciais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A traqueostomia cria um acesso à luz traqueal através da parede anterior da traqueia cervical. No levantamento, seu contexto predominante é eletivo ou associado à ventilação prolongada. A consulta ampliada acrescenta obstrução da via aérea superior, dificuldade de desmame e necessidade de higiene brônquica como situações discutidas pelas fontes.</w:t>
      </w:r>
    </w:p>
    <w:p>
      <w:pPr>
        <w:pStyle w:val="BodyText"/>
      </w:pPr>
      <w:r>
        <w:t xml:space="preserve">O benefício esperado depende do problema que se pretende resolver: proporcionar acesso respiratório, facilitar o manejo de secreções e permitir suporte ventilatório continuado. Não se deve reduzir sua indicação a uma contagem de dias: o levantamento não estabelece um prazo universal para realizá-la.</w:t>
      </w:r>
    </w:p>
    <w:p>
      <w:pPr>
        <w:pStyle w:val="BodyText"/>
      </w:pPr>
      <w:r>
        <w:rPr>
          <w:b/>
          <w:bCs/>
        </w:rPr>
        <w:t xml:space="preserve">A distinção central de prova é a urgência fisiológica.</w:t>
      </w:r>
      <w:r>
        <w:t xml:space="preserve"> </w:t>
      </w:r>
      <w:r>
        <w:t xml:space="preserve">Falha de intubação associada à impossibilidade de ventilação exige uma estratégia de resgate. Nesse cenário, o levantamento aponta cricotireoidostomia de emergência. A traqueostomia para ventilação prolongada pertence a outra decisão clínica.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4279"/>
        <w:gridCol w:w="5081"/>
      </w:tblGrid>
      <w:tr>
        <w:trPr>
          <w:tblHeader w:val="on"/>
        </w:trPr>
        <w:tc>
          <w:tcPr>
            <w:tcW w:type="dxa" w:w="4279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Situação</w:t>
            </w:r>
          </w:p>
        </w:tc>
        <w:tc>
          <w:tcPr>
            <w:tcW w:type="dxa" w:w="5081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Ideia a reter</w:t>
            </w:r>
          </w:p>
        </w:tc>
      </w:tr>
      <w:tr>
        <w:tc>
          <w:tcPr>
            <w:tcW w:type="dxa" w:w="4279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Necessidade de suporte ventilatório prolongado</w:t>
            </w:r>
          </w:p>
        </w:tc>
        <w:tc>
          <w:tcPr>
            <w:tcW w:type="dxa" w:w="508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Avaliar traqueostomia no contexto do planejamento da via aérea</w:t>
            </w:r>
          </w:p>
        </w:tc>
      </w:tr>
      <w:tr>
        <w:tc>
          <w:tcPr>
            <w:tcW w:type="dxa" w:w="4279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Obstrução superior ou higiene brônquica difícil</w:t>
            </w:r>
          </w:p>
        </w:tc>
        <w:tc>
          <w:tcPr>
            <w:tcW w:type="dxa" w:w="508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Definir a finalidade do acesso e a anatomia envolvida</w:t>
            </w:r>
          </w:p>
        </w:tc>
      </w:tr>
      <w:tr>
        <w:tc>
          <w:tcPr>
            <w:tcW w:type="dxa" w:w="4279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Falha de intubação e de ventilação</w:t>
            </w:r>
          </w:p>
        </w:tc>
        <w:tc>
          <w:tcPr>
            <w:tcW w:type="dxa" w:w="508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Cricotireoidostomia de emergência no cenário descrito</w:t>
            </w:r>
          </w:p>
        </w:tc>
      </w:tr>
      <w:tr>
        <w:tc>
          <w:tcPr>
            <w:tcW w:type="dxa" w:w="4279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Sangramento em pessoa já traqueostomizada</w:t>
            </w:r>
          </w:p>
        </w:tc>
        <w:tc>
          <w:tcPr>
            <w:tcW w:type="dxa" w:w="508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Procurar complicação; não presumir sangramento banal do estoma</w:t>
            </w:r>
          </w:p>
        </w:tc>
      </w:tr>
    </w:tbl>
    <w:bookmarkEnd w:id="11"/>
    <w:bookmarkStart w:id="12" w:name="reconhecimento-e-avaliação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A avaliação deve registrar o motivo do procedimento, a possibilidade de oxigenação/ventilação e as condições do pescoço. Cirurgias prévias, massas, alterações anatômicas, radioterapia e tumores podem dificultar o acesso. O caderno reúne esses fatores no mnemônico SMART, apresentado para dificuldade da cricotireoidostomia; ele não deve ser confundido com uma indicação de traqueostomia.</w:t>
      </w:r>
    </w:p>
    <w:p>
      <w:pPr>
        <w:pStyle w:val="BodyText"/>
      </w:pPr>
      <w:r>
        <w:t xml:space="preserve">O risco fisiológico também importa: hipoxemia, hipotensão, acidose, consumo aumentado de oxigênio e disfunção ventricular direita foram destacados na consulta. São elementos para reconhecer menor tolerância à perda da ventilação, não uma lista de critérios numéricos novos.</w:t>
      </w:r>
    </w:p>
    <w:p>
      <w:pPr>
        <w:pStyle w:val="BodyText"/>
      </w:pPr>
      <w:r>
        <w:t xml:space="preserve">No paciente traqueostomizado, organize a avaliação em três perguntas clínicas, sem transformá-las em um questionário de estudo: o ar está passando, a cânula permanece funcional e existe sangramento ou lesão associada? A presença de cânula não comprova ventilação adequada. Obstrução por secreções, deslocamento e falsa via aparecem no material ampliado como causas de deterioração.</w:t>
      </w:r>
    </w:p>
    <w:bookmarkEnd w:id="12"/>
    <w:bookmarkEnd w:id="13"/>
    <w:bookmarkStart w:id="16" w:name="Xd20a3c4314d66bca7a7510133dc1154666bb0c4"/>
    <w:p>
      <w:pPr>
        <w:pStyle w:val="Heading3"/>
        <w:keepNext/>
        <w:keepLines/>
      </w:pPr>
      <w:r>
        <w:t xml:space="preserve">Bloco 2 — anatomia aplicada e interpretação radiológica</w:t>
      </w:r>
    </w:p>
    <w:bookmarkStart w:id="14" w:name="anatomia-aplicada"/>
    <w:p>
      <w:pPr>
        <w:pStyle w:val="Heading4"/>
        <w:keepNext/>
        <w:keepLines/>
      </w:pPr>
      <w:r>
        <w:t xml:space="preserve">Anatomia aplicada</w:t>
      </w:r>
    </w:p>
    <w:p>
      <w:pPr>
        <w:pStyle w:val="FirstParagraph"/>
      </w:pPr>
      <w:r>
        <w:t xml:space="preserve">Os marcos cervicais são a cartilagem tireóidea, a membrana cricotireóidea, a cartilagem cricóidea e os anéis traqueais. A membrana usada na cricotireoidostomia e a abertura traqueal da traqueostomia não correspondem ao mesmo acesso.</w:t>
      </w:r>
    </w:p>
    <w:p>
      <w:pPr>
        <w:pStyle w:val="BodyText"/>
      </w:pPr>
      <w:r>
        <w:t xml:space="preserve">A consulta relaciona o istmo tireoidiano à face anterior da traqueia e o esôfago à parede traqueal posterior membranosa. Essas relações explicam dois grupos de problemas: sangramento anterior e lesão posterior. Para a revisão, é mais útil compreender a estrutura ameaçada do que decorar uma técnica sem contexto.</w:t>
      </w:r>
    </w:p>
    <w:p>
      <w:pPr>
        <w:pStyle w:val="BodyText"/>
      </w:pPr>
      <w:r>
        <w:t xml:space="preserve">O dado numérico prioritário do levantamento é a relação da</w:t>
      </w:r>
      <w:r>
        <w:t xml:space="preserve"> </w:t>
      </w:r>
      <w:r>
        <w:rPr>
          <w:b/>
          <w:bCs/>
        </w:rPr>
        <w:t xml:space="preserve">artéria inominada, ou tronco braquiocefálico, com a traqueia no nível do 7º–9º anel</w:t>
      </w:r>
      <w:r>
        <w:t xml:space="preserve">. Essa proximidade fundamenta a preocupação com a fístula traqueoinominada. O caderno associa a complicação à erosão relacionada à cânula e ao cuff e à posição baixa do acesso.</w:t>
      </w:r>
    </w:p>
    <w:p>
      <w:pPr>
        <w:pStyle w:val="BodyText"/>
      </w:pPr>
      <w:r>
        <w:t xml:space="preserve">Ápice pulmonar e pleura cervical ultrapassam a primeira costela. A continuidade entre pescoço e tórax ajuda a compreender por que uma intervenção cervical pode acompanhar-se de complicações pleuropulmonares.</w:t>
      </w:r>
    </w:p>
    <w:bookmarkEnd w:id="14"/>
    <w:bookmarkStart w:id="15" w:name="interpretação-radiológica"/>
    <w:p>
      <w:pPr>
        <w:pStyle w:val="Heading4"/>
        <w:keepNext/>
        <w:keepLines/>
      </w:pPr>
      <w:r>
        <w:t xml:space="preserve">Interpretação radiológica</w:t>
      </w:r>
    </w:p>
    <w:p>
      <w:pPr>
        <w:pStyle w:val="FirstParagraph"/>
      </w:pPr>
      <w:r>
        <w:t xml:space="preserve">A consulta ampliada orienta observar o alinhamento da cânula com a traqueia e procurar pneumotórax, pneumomediastino e enfisema subcutâneo quando houver suspeita de complicação. Esses achados precisam ser relacionados à evolução clínica e ao procedimento recente.</w:t>
      </w:r>
    </w:p>
    <w:p>
      <w:pPr>
        <w:pStyle w:val="BodyText"/>
      </w:pPr>
      <w:r>
        <w:t xml:space="preserve">O papel da imagem é diferente do papel da avaliação à beira do leito: a imagem mostra posição e repercussões anatômicas; a avaliação identifica se o paciente ventila e se está deteriorando. Uma imagem não substitui a avaliação funcional da via aérea.</w:t>
      </w:r>
    </w:p>
    <w:p>
      <w:pPr>
        <w:pStyle w:val="BodyText"/>
      </w:pPr>
      <w:r>
        <w:t xml:space="preserve">Não se adota aqui uma distância universal entre cânula e carina. Embora a resposta ampliada tenha sugerido medidas, elas não foram preservadas sem conferência específica do trecho para cânulas de traqueostomia.</w:t>
      </w:r>
    </w:p>
    <w:bookmarkEnd w:id="15"/>
    <w:bookmarkEnd w:id="16"/>
    <w:bookmarkStart w:id="21" w:name="bloco-3-decisão-complicações-e-retenção"/>
    <w:p>
      <w:pPr>
        <w:pStyle w:val="Heading3"/>
        <w:keepNext/>
        <w:keepLines/>
      </w:pPr>
      <w:r>
        <w:t xml:space="preserve">Bloco 3 — decisão, complicações e retenção</w:t>
      </w:r>
    </w:p>
    <w:bookmarkStart w:id="17" w:name="X1ce36266f1cbce832a6678a1304932fb635e90a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Definir o cenário:</w:t>
      </w:r>
      <w:r>
        <w:t xml:space="preserve"> </w:t>
      </w:r>
      <w:r>
        <w:t xml:space="preserve">acesso planejado para suporte continuado ou emergência por falha de intubação e ventilação.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planejamento da traqueostomia:</w:t>
      </w:r>
      <w:r>
        <w:t xml:space="preserve"> </w:t>
      </w:r>
      <w:r>
        <w:t xml:space="preserve">avaliar anatomia cervical, indicação e possibilidade de abordagem aberta ou percutânea. As fontes discutem ambas; esta revisão não estabelece superioridade universal.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 via aérea impossível descrita no levantamento:</w:t>
      </w:r>
      <w:r>
        <w:t xml:space="preserve"> </w:t>
      </w:r>
      <w:r>
        <w:t xml:space="preserve">reconhecer a indicação de cricotireoidostomia de emergência. Particularidades pediátricas e técnica detalhada exigem o trecho específico, sem extrapolação automática do adulto.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 complicação após traqueostomia:</w:t>
      </w:r>
      <w:r>
        <w:t xml:space="preserve"> </w:t>
      </w:r>
      <w:r>
        <w:t xml:space="preserve">priorizar a avaliação da ventilação e do sangramento, identificando obstrução, deslocamento ou lesão.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sangramento sentinela:</w:t>
      </w:r>
      <w:r>
        <w:t xml:space="preserve"> </w:t>
      </w:r>
      <w:r>
        <w:t xml:space="preserve">excluir imediatamente fístula traqueoinominada e mobilizar avaliação especializada de emergência.</w:t>
      </w:r>
    </w:p>
    <w:bookmarkEnd w:id="17"/>
    <w:bookmarkStart w:id="18" w:name="Xcdbe8a6748ca086eb1bc63a53f1c96d62af8136"/>
    <w:p>
      <w:pPr>
        <w:pStyle w:val="Heading4"/>
        <w:keepNext/>
        <w:keepLines/>
      </w:pPr>
      <w:r>
        <w:t xml:space="preserve">Complicações e armadilhas de prova/plantão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273"/>
        <w:gridCol w:w="6087"/>
      </w:tblGrid>
      <w:tr>
        <w:trPr>
          <w:tblHeader w:val="on"/>
        </w:trPr>
        <w:tc>
          <w:tcPr>
            <w:tcW w:type="dxa" w:w="3273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Complicação discutida</w:t>
            </w:r>
          </w:p>
        </w:tc>
        <w:tc>
          <w:tcPr>
            <w:tcW w:type="dxa" w:w="6087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Relação útil para a revisão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Sangramento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Pode ser relacionado ao procedimento ou a complicação vascular grave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Pneumotórax e enfisema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Relacionar piora respiratória ao procedimento recente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Lesão da parede posterior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Lembrar a proximidade do esôfago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Obstrução ou deslocamento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Cânula presente não significa via aérea funcional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Estenose traqueal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Complicação tardia discutida nas fontes de traqueia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Fístula traqueoesofágica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Relação entre parede posterior, esôfago e lesão por pressão</w:t>
            </w:r>
          </w:p>
        </w:tc>
      </w:tr>
      <w:tr>
        <w:tc>
          <w:tcPr>
            <w:tcW w:type="dxa" w:w="32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Fístula traqueoinominada</w:t>
            </w:r>
          </w:p>
        </w:tc>
        <w:tc>
          <w:tcPr>
            <w:tcW w:type="dxa" w:w="608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Sangramento sentinela exige exclusão urgente</w:t>
            </w:r>
          </w:p>
        </w:tc>
      </w:tr>
    </w:tbl>
    <w:p>
      <w:pPr>
        <w:pStyle w:val="BodyText"/>
      </w:pPr>
      <w:r>
        <w:rPr>
          <w:b/>
          <w:bCs/>
        </w:rPr>
        <w:t xml:space="preserve">Sangramento no estoma entre 7–10 dias</w:t>
      </w:r>
      <w:r>
        <w:t xml:space="preserve"> </w:t>
      </w:r>
      <w:r>
        <w:t xml:space="preserve">é o alerta temporal fornecido. Esse intervalo ajuda a reconhecer o padrão, mas não deve ser interpretado como uma janela fora da qual sangramento grave seria seguro. Outra armadilha é tratar todo sangramento como superficial e perder a associação com a artéria inominada.</w:t>
      </w:r>
    </w:p>
    <w:bookmarkEnd w:id="18"/>
    <w:bookmarkStart w:id="19" w:name="o-que-lembrar-em-60-segundos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rPr>
          <w:b/>
          <w:bCs/>
        </w:rPr>
        <w:t xml:space="preserve">Traqueostomia:</w:t>
      </w:r>
      <w:r>
        <w:t xml:space="preserve"> </w:t>
      </w:r>
      <w:r>
        <w:t xml:space="preserve">geralmente planejada ou para ventilação prolongada.</w:t>
      </w:r>
      <w:r>
        <w:t xml:space="preserve"> </w:t>
      </w:r>
      <w:r>
        <w:rPr>
          <w:b/>
          <w:bCs/>
        </w:rPr>
        <w:t xml:space="preserve">Falha de intubação e ventilação:</w:t>
      </w:r>
      <w:r>
        <w:t xml:space="preserve"> </w:t>
      </w:r>
      <w:r>
        <w:t xml:space="preserve">cricotireoidostomia de emergência no cenário do levantamento. Avaliar dificuldade anatômica e fisiológica separadamente. Cânula não garante ventilação. Sangramento sentinela entre</w:t>
      </w:r>
      <w:r>
        <w:t xml:space="preserve"> </w:t>
      </w:r>
      <w:r>
        <w:rPr>
          <w:b/>
          <w:bCs/>
        </w:rPr>
        <w:t xml:space="preserve">7–10 dias</w:t>
      </w:r>
      <w:r>
        <w:t xml:space="preserve"> </w:t>
      </w:r>
      <w:r>
        <w:t xml:space="preserve">exige excluir</w:t>
      </w:r>
      <w:r>
        <w:t xml:space="preserve"> </w:t>
      </w:r>
      <w:r>
        <w:rPr>
          <w:b/>
          <w:bCs/>
        </w:rPr>
        <w:t xml:space="preserve">fístula traqueoinominada</w:t>
      </w:r>
      <w:r>
        <w:t xml:space="preserve">. Relação vascular de destaque:</w:t>
      </w:r>
      <w:r>
        <w:t xml:space="preserve"> </w:t>
      </w:r>
      <w:r>
        <w:rPr>
          <w:b/>
          <w:bCs/>
        </w:rPr>
        <w:t xml:space="preserve">7º–9º anel traqueal</w:t>
      </w:r>
      <w:r>
        <w:t xml:space="preserve">.</w:t>
      </w:r>
    </w:p>
    <w:bookmarkEnd w:id="19"/>
    <w:bookmarkStart w:id="20" w:name="fontesseções-do-caderno-usadas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Sabiston — 04 — Section 1 — Part D — Trachea:</w:t>
      </w:r>
      <w:r>
        <w:t xml:space="preserve"> </w:t>
      </w:r>
      <w:r>
        <w:t xml:space="preserve">fundamentos, relações e complicações traqueais na consulta ampliada.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Shields — Section XIII — The Trachea and Bronchi:</w:t>
      </w:r>
      <w:r>
        <w:t xml:space="preserve"> </w:t>
      </w:r>
      <w:r>
        <w:t xml:space="preserve">traqueostomia e complicações; seção vinculada pelo caderno ao sangramento sentinela e à relação com a inominada.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Medicina de Emergência — Abordagem Prática, 18ª edição:</w:t>
      </w:r>
      <w:r>
        <w:t xml:space="preserve"> </w:t>
      </w:r>
      <w:r>
        <w:t xml:space="preserve">avaliação e resgate da via aérea. O capítulo exato não foi confirmado diretamente.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Moore — Clinically Oriented Anatomy:</w:t>
      </w:r>
      <w:r>
        <w:t xml:space="preserve"> </w:t>
      </w:r>
      <w:r>
        <w:t xml:space="preserve">relação entre ápice, pleura cervical e abertura torácica superior; sem paginação atribuída.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35" w:name="trauma-torácico"/>
    <w:p>
      <w:pPr>
        <w:pStyle w:val="Heading2"/>
        <w:keepNext/>
        <w:keepLines/>
        <w:pageBreakBefore/>
      </w:pPr>
      <w:r>
        <w:t xml:space="preserve">2. Trauma torácico</w:t>
      </w:r>
    </w:p>
    <w:p>
      <w:pPr>
        <w:spacing w:after="160"/>
      </w:pPr>
      <w:r>
        <w:rPr>
          <w:b/>
        </w:rPr>
        <w:t xml:space="preserve">Nota de conferência — débito do dreno: </w:t>
      </w:r>
      <w:r>
        <w:t>a checagem complementar na tarefa do simulado identificou &gt;250 mL/h por 3 horas no Sabiston, Part C — Trauma, enquanto o levantamento abaixo registra 4 horas. Essa duração permanece divergente; não deve ser tratada como consenso nem usada isoladamente como gabarito.</w:t>
      </w:r>
    </w:p>
    <w:bookmarkStart w:id="26" w:name="X880644147ed3e107d0686e0d6b7a1f78aabfcd2"/>
    <w:p>
      <w:pPr>
        <w:pStyle w:val="Heading3"/>
        <w:keepNext/>
        <w:keepLines/>
      </w:pPr>
      <w:r>
        <w:t xml:space="preserve">Bloco 1 — objetivos, conceitos e reconhecimento</w:t>
      </w:r>
    </w:p>
    <w:bookmarkStart w:id="23" w:name="objetivos-de-aprendizagem-1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04"/>
        </w:numPr>
      </w:pPr>
      <w:r>
        <w:t xml:space="preserve">Usar XABCDE para ordenar prioridades.</w:t>
      </w:r>
    </w:p>
    <w:p>
      <w:pPr>
        <w:pStyle w:val="Compact"/>
        <w:numPr>
          <w:ilvl w:val="0"/>
          <w:numId w:val="1004"/>
        </w:numPr>
      </w:pPr>
      <w:r>
        <w:t xml:space="preserve">Diferenciar repercussão ventilatória, choque obstrutivo e choque hemorrágico.</w:t>
      </w:r>
    </w:p>
    <w:p>
      <w:pPr>
        <w:pStyle w:val="Compact"/>
        <w:numPr>
          <w:ilvl w:val="0"/>
          <w:numId w:val="1004"/>
        </w:numPr>
      </w:pPr>
      <w:r>
        <w:t xml:space="preserve">Reconhecer pneumotórax hipertensivo, hemotórax importante e lesão da parede torácica.</w:t>
      </w:r>
    </w:p>
    <w:p>
      <w:pPr>
        <w:pStyle w:val="Compact"/>
        <w:numPr>
          <w:ilvl w:val="0"/>
          <w:numId w:val="1004"/>
        </w:numPr>
      </w:pPr>
      <w:r>
        <w:t xml:space="preserve">Interpretar débito do dreno com volume, tempo e contexto clínico.</w:t>
      </w:r>
    </w:p>
    <w:bookmarkEnd w:id="23"/>
    <w:bookmarkStart w:id="24" w:name="conceitos-essenciais-1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Trauma torácico pode comprometer parede, pulmão, pleura, vias aéreas, coração e vasos. A lesão anatômica precisa ser traduzida em repercussão: dificuldade ventilatória, alteração de troca gasosa, perda sanguínea ou impedimento ao retorno venoso.</w:t>
      </w:r>
    </w:p>
    <w:p>
      <w:pPr>
        <w:pStyle w:val="BodyText"/>
      </w:pPr>
      <w:r>
        <w:t xml:space="preserve">A sequência</w:t>
      </w:r>
      <w:r>
        <w:t xml:space="preserve"> </w:t>
      </w:r>
      <w:r>
        <w:rPr>
          <w:b/>
          <w:bCs/>
        </w:rPr>
        <w:t xml:space="preserve">XABCDE</w:t>
      </w:r>
      <w:r>
        <w:t xml:space="preserve"> </w:t>
      </w:r>
      <w:r>
        <w:t xml:space="preserve">organiza a avaliação inicial: hemorragia exsanguinante, via aérea, respiração/ventilação, circulação, avaliação neurológica e exposição. O estudo deve manter essa prioridade, evitando começar por uma lista extensa de lesões antes de identificar o problema que ameaça a vida.</w:t>
      </w:r>
    </w:p>
    <w:p>
      <w:pPr>
        <w:pStyle w:val="BodyText"/>
      </w:pPr>
      <w:r>
        <w:rPr>
          <w:b/>
          <w:bCs/>
        </w:rPr>
        <w:t xml:space="preserve">Choque obstrutivo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hemorrágico</w:t>
      </w:r>
      <w:r>
        <w:t xml:space="preserve"> </w:t>
      </w:r>
      <w:r>
        <w:t xml:space="preserve">exigem distinção. No primeiro, o material destaca o pneumotórax hipertensivo e o tamponamento; no segundo, a perda sanguínea, incluindo hemotórax. Hipotensão isolada não define qual mecanismo está presente, e lesões podem coexistir.</w:t>
      </w:r>
    </w:p>
    <w:bookmarkEnd w:id="24"/>
    <w:bookmarkStart w:id="25" w:name="reconhecimento-e-avaliação-1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O padrão do pneumotórax hipertensivo no levantamento reúne</w:t>
      </w:r>
      <w:r>
        <w:t xml:space="preserve"> </w:t>
      </w:r>
      <w:r>
        <w:rPr>
          <w:b/>
          <w:bCs/>
        </w:rPr>
        <w:t xml:space="preserve">hipotensão, turgência jugular, murmúrio vesicular unilateral abolido e timpanismo</w:t>
      </w:r>
      <w:r>
        <w:t xml:space="preserve">. A leitura correta é reconhecer uma combinação sugestiva de comprometimento pleural com repercussão circulatória; não esperar obrigatoriamente todos os sinais para admitir gravidade.</w:t>
      </w:r>
    </w:p>
    <w:p>
      <w:pPr>
        <w:pStyle w:val="BodyText"/>
      </w:pPr>
      <w:r>
        <w:t xml:space="preserve">O hemotórax importante também pode reduzir o murmúrio, mas o material ampliado associa-o à macicez e à perda sanguínea. A percussão ajuda a separar ar de líquido no raciocínio clínico, sem substituir a avaliação integral.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2194"/>
        <w:gridCol w:w="3058"/>
        <w:gridCol w:w="4108"/>
      </w:tblGrid>
      <w:tr>
        <w:trPr>
          <w:tblHeader w:val="on"/>
        </w:trPr>
        <w:tc>
          <w:tcPr>
            <w:tcW w:type="dxa" w:w="2194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Padrão prioritário</w:t>
            </w:r>
          </w:p>
        </w:tc>
        <w:tc>
          <w:tcPr>
            <w:tcW w:type="dxa" w:w="3058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Mecanismo destacado</w:t>
            </w:r>
          </w:p>
        </w:tc>
        <w:tc>
          <w:tcPr>
            <w:tcW w:type="dxa" w:w="4108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Elementos de reconhecimento</w:t>
            </w:r>
          </w:p>
        </w:tc>
      </w:tr>
      <w:tr>
        <w:tc>
          <w:tcPr>
            <w:tcW w:type="dxa" w:w="219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Pneumotórax hipertensivo</w:t>
            </w:r>
          </w:p>
        </w:tc>
        <w:tc>
          <w:tcPr>
            <w:tcW w:type="dxa" w:w="30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Obstrução ao retorno venoso</w:t>
            </w:r>
          </w:p>
        </w:tc>
        <w:tc>
          <w:tcPr>
            <w:tcW w:type="dxa" w:w="410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Hipotensão, assimetria de ausculta e timpanismo</w:t>
            </w:r>
          </w:p>
        </w:tc>
      </w:tr>
      <w:tr>
        <w:tc>
          <w:tcPr>
            <w:tcW w:type="dxa" w:w="219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Hemotórax importante</w:t>
            </w:r>
          </w:p>
        </w:tc>
        <w:tc>
          <w:tcPr>
            <w:tcW w:type="dxa" w:w="30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Hemorragia e comprometimento ventilatório</w:t>
            </w:r>
          </w:p>
        </w:tc>
        <w:tc>
          <w:tcPr>
            <w:tcW w:type="dxa" w:w="410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Perda de sangue, murmúrio reduzido e macicez</w:t>
            </w:r>
          </w:p>
        </w:tc>
      </w:tr>
      <w:tr>
        <w:tc>
          <w:tcPr>
            <w:tcW w:type="dxa" w:w="219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Tamponamento</w:t>
            </w:r>
          </w:p>
        </w:tc>
        <w:tc>
          <w:tcPr>
            <w:tcW w:type="dxa" w:w="30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Comprometimento do enchimento cardíaco</w:t>
            </w:r>
          </w:p>
        </w:tc>
        <w:tc>
          <w:tcPr>
            <w:tcW w:type="dxa" w:w="410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Hipotensão, turgência jugular e bulhas abafadas no padrão clássico</w:t>
            </w:r>
          </w:p>
        </w:tc>
      </w:tr>
      <w:tr>
        <w:tc>
          <w:tcPr>
            <w:tcW w:type="dxa" w:w="219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Fraturas/contusão</w:t>
            </w:r>
          </w:p>
        </w:tc>
        <w:tc>
          <w:tcPr>
            <w:tcW w:type="dxa" w:w="30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Dor, alteração mecânica e lesão pulmonar</w:t>
            </w:r>
          </w:p>
        </w:tc>
        <w:tc>
          <w:tcPr>
            <w:tcW w:type="dxa" w:w="410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Hipoventilação, dor e piora respiratória</w:t>
            </w:r>
          </w:p>
        </w:tc>
      </w:tr>
    </w:tbl>
    <w:p>
      <w:pPr>
        <w:pStyle w:val="BodyText"/>
      </w:pPr>
      <w:r>
        <w:t xml:space="preserve">A dor da parede torácica merece avaliação própria. O levantamento destaca</w:t>
      </w:r>
      <w:r>
        <w:t xml:space="preserve"> </w:t>
      </w:r>
      <w:r>
        <w:rPr>
          <w:b/>
          <w:bCs/>
        </w:rPr>
        <w:t xml:space="preserve">três ou mais fraturas de costela</w:t>
      </w:r>
      <w:r>
        <w:t xml:space="preserve"> </w:t>
      </w:r>
      <w:r>
        <w:t xml:space="preserve">como situação para revisar analgesia regional e risco de hipoventilação. Esse número não deve ser reutilizado, sozinho, como definição de tórax instável.</w:t>
      </w:r>
    </w:p>
    <w:bookmarkEnd w:id="25"/>
    <w:bookmarkEnd w:id="26"/>
    <w:bookmarkStart w:id="29" w:name="X151c62e48bf6915020e369ed5a32b6fe3d9a098"/>
    <w:p>
      <w:pPr>
        <w:pStyle w:val="Heading3"/>
        <w:keepNext/>
        <w:keepLines/>
      </w:pPr>
      <w:r>
        <w:t xml:space="preserve">Bloco 2 — anatomia aplicada e interpretação radiológica</w:t>
      </w:r>
    </w:p>
    <w:bookmarkStart w:id="27" w:name="anatomia-aplicada-1"/>
    <w:p>
      <w:pPr>
        <w:pStyle w:val="Heading4"/>
        <w:keepNext/>
        <w:keepLines/>
      </w:pPr>
      <w:r>
        <w:t xml:space="preserve">Anatomia aplicada</w:t>
      </w:r>
    </w:p>
    <w:p>
      <w:pPr>
        <w:pStyle w:val="FirstParagraph"/>
      </w:pPr>
      <w:r>
        <w:t xml:space="preserve">A parede torácica combina proteção dos órgãos e participação na ventilação. Dor e instabilidade podem limitar expansão; a contusão acrescenta lesão do parênquima. Essa distinção evita atribuir toda insuficiência respiratória apenas à fratura visível.</w:t>
      </w:r>
    </w:p>
    <w:p>
      <w:pPr>
        <w:pStyle w:val="BodyText"/>
      </w:pPr>
      <w:r>
        <w:t xml:space="preserve">O feixe neurovascular intercostal relaciona-se à borda inferior da costela. Sua localização é relevante para compreender sangramento e lesão durante procedimentos pleurais. O marco de drenagem preservado do levantamento é o</w:t>
      </w:r>
      <w:r>
        <w:t xml:space="preserve"> </w:t>
      </w:r>
      <w:r>
        <w:rPr>
          <w:b/>
          <w:bCs/>
        </w:rPr>
        <w:t xml:space="preserve">5º espaço intercostal entre as linhas axilar anterior e média, dentro do triângulo de segurança</w:t>
      </w:r>
      <w:r>
        <w:t xml:space="preserve">.</w:t>
      </w:r>
    </w:p>
    <w:p>
      <w:pPr>
        <w:pStyle w:val="BodyText"/>
      </w:pPr>
      <w:r>
        <w:t xml:space="preserve">Na revisão, mantenha separados três procedimentos: descompressão de emergência, inserção de dreno e toracotomia. A primeira trata rapidamente a pressão; o dreno mantém a drenagem pleural; a toracotomia permite acesso cirúrgico e controle de lesões selecionadas. Um marco anatômico não deve ser automaticamente transferido de um procedimento para outro.</w:t>
      </w:r>
    </w:p>
    <w:bookmarkEnd w:id="27"/>
    <w:bookmarkStart w:id="28" w:name="interpretação-radiológica-1"/>
    <w:p>
      <w:pPr>
        <w:pStyle w:val="Heading4"/>
        <w:keepNext/>
        <w:keepLines/>
      </w:pPr>
      <w:r>
        <w:t xml:space="preserve">Interpretação radiológica</w:t>
      </w:r>
    </w:p>
    <w:p>
      <w:pPr>
        <w:pStyle w:val="FirstParagraph"/>
      </w:pPr>
      <w:r>
        <w:t xml:space="preserve">O POCUS do pneumotórax inclui ausência de</w:t>
      </w:r>
      <w:r>
        <w:t xml:space="preserve"> </w:t>
      </w:r>
      <w:r>
        <w:rPr>
          <w:b/>
          <w:bCs/>
        </w:rPr>
        <w:t xml:space="preserve">lung sliding</w:t>
      </w:r>
      <w:r>
        <w:t xml:space="preserve">, padrão de</w:t>
      </w:r>
      <w:r>
        <w:t xml:space="preserve"> </w:t>
      </w:r>
      <w:r>
        <w:rPr>
          <w:b/>
          <w:bCs/>
        </w:rPr>
        <w:t xml:space="preserve">estratosfera/código de barras</w:t>
      </w:r>
      <w:r>
        <w:t xml:space="preserve"> </w:t>
      </w:r>
      <w:r>
        <w:t xml:space="preserve">e pesquisa do</w:t>
      </w:r>
      <w:r>
        <w:t xml:space="preserve"> </w:t>
      </w:r>
      <w:r>
        <w:rPr>
          <w:b/>
          <w:bCs/>
        </w:rPr>
        <w:t xml:space="preserve">lung point</w:t>
      </w:r>
      <w:r>
        <w:t xml:space="preserve">. O último representa uma transição entre áreas com e sem contato pleural. Não se usa aqui uma porcentagem de sensibilidade para esse sinal isolado.</w:t>
      </w:r>
    </w:p>
    <w:p>
      <w:pPr>
        <w:pStyle w:val="BodyText"/>
      </w:pPr>
      <w:r>
        <w:t xml:space="preserve">A avaliação ultrassonográfica do trauma também pode procurar líquido pleural e pericárdico, conforme a consulta ampliada. A existência de líquido é um achado anatômico; a repercussão clínica integra sua interpretação.</w:t>
      </w:r>
    </w:p>
    <w:p>
      <w:pPr>
        <w:pStyle w:val="BodyText"/>
      </w:pPr>
      <w:r>
        <w:t xml:space="preserve">No RX, procure alterações pleurais, opacidades pulmonares e lesões da parede. A consulta descreve contusão como opacidades/infiltrados que podem tornar-se mais evidentes durante a evolução, inclusive após ressuscitação. Uma avaliação inicial não encerra o acompanhamento da função respiratória.</w:t>
      </w:r>
    </w:p>
    <w:p>
      <w:pPr>
        <w:pStyle w:val="BodyText"/>
      </w:pPr>
      <w:r>
        <w:rPr>
          <w:b/>
          <w:bCs/>
        </w:rPr>
        <w:t xml:space="preserve">Posição importa:</w:t>
      </w:r>
      <w:r>
        <w:t xml:space="preserve"> </w:t>
      </w:r>
      <w:r>
        <w:t xml:space="preserve">em decúbito, a distribuição do ar e do líquido difere da imagem em pé. A linha pleural sem trama distal é o sinal clássico de pneumotórax; a consulta de revisão destaca o sulco profundo no supino. Não exija a mesma apresentação em todas as incidências.</w:t>
      </w:r>
    </w:p>
    <w:bookmarkEnd w:id="28"/>
    <w:bookmarkEnd w:id="29"/>
    <w:bookmarkStart w:id="34" w:name="Xc1e509a07b0e069abe7ee6b8cc454352fe6adc4"/>
    <w:p>
      <w:pPr>
        <w:pStyle w:val="Heading3"/>
        <w:keepNext/>
        <w:keepLines/>
      </w:pPr>
      <w:r>
        <w:t xml:space="preserve">Bloco 3 — decisão, complicações e retenção</w:t>
      </w:r>
    </w:p>
    <w:bookmarkStart w:id="30" w:name="X3147e9a4ef4992dadd94b995f58a63c6f60099f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FirstParagraph"/>
      </w:pPr>
      <w:r>
        <w:t xml:space="preserve">O primeiro passo é reconhecer e tratar as ameaças identificadas na avaliação primária. No pneumotórax hipertensivo, o material do caderno aponta descompressão imediata seguida de drenagem. A obtenção de uma imagem não deve atrasar a abordagem da emergência clínica descrita.</w:t>
      </w:r>
    </w:p>
    <w:p>
      <w:pPr>
        <w:pStyle w:val="BodyText"/>
      </w:pPr>
      <w:r>
        <w:t xml:space="preserve">No trauma penetrante, o levantamento estabelece considerar toracotomia quando houver: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mais de 1.500 mL de sangue inicialmente pelo dreno; ou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mais de 250 mL/h durante 4 horas.</w:t>
      </w:r>
    </w:p>
    <w:p>
      <w:pPr>
        <w:pStyle w:val="FirstParagraph"/>
      </w:pPr>
      <w:r>
        <w:t xml:space="preserve">São alternativas, não exigências simultâneas. Registre sempre a diferença entre saída inicial e débito horário. Esses critérios foram fornecidos no contexto de trauma penetrante e não devem ser universalizados para qualquer drenagem pleural.</w:t>
      </w:r>
    </w:p>
    <w:p>
      <w:pPr>
        <w:pStyle w:val="BodyText"/>
      </w:pPr>
      <w:r>
        <w:t xml:space="preserve">A decisão deve considerar também o quadro clínico. O número orienta a discussão cirúrgica, mas não autoriza esperar passivamente a conclusão de quatro horas diante de deterioração. O próprio eixo XABCDE mantém a prioridade na instabilidade.</w:t>
      </w:r>
    </w:p>
    <w:p>
      <w:pPr>
        <w:pStyle w:val="BodyText"/>
      </w:pPr>
      <w:r>
        <w:t xml:space="preserve">Para múltiplas fraturas, o foco é controlar dor e preservar ventilação; a consulta cita analgesia regional como assunto prioritário. Não foram incluídos esquemas de drogas, doses ou metas de ressuscitação não presentes no levantamento original.</w:t>
      </w:r>
    </w:p>
    <w:bookmarkEnd w:id="30"/>
    <w:bookmarkStart w:id="31" w:name="X5f8349524e73d4b1b15c3725314821a2ff93f33"/>
    <w:p>
      <w:pPr>
        <w:pStyle w:val="Heading4"/>
        <w:keepNext/>
        <w:keepLines/>
      </w:pPr>
      <w:r>
        <w:t xml:space="preserve">Complicações e armadilhas de prova/plantão</w:t>
      </w:r>
    </w:p>
    <w:p>
      <w:pPr>
        <w:pStyle w:val="Compact"/>
        <w:numPr>
          <w:ilvl w:val="0"/>
          <w:numId w:val="1006"/>
        </w:numPr>
      </w:pPr>
      <w:r>
        <w:t xml:space="preserve">Classificar toda hipotensão como hemorragia e não reconhecer componente obstrutivo.</w:t>
      </w:r>
    </w:p>
    <w:p>
      <w:pPr>
        <w:pStyle w:val="Compact"/>
        <w:numPr>
          <w:ilvl w:val="0"/>
          <w:numId w:val="1006"/>
        </w:numPr>
      </w:pPr>
      <w:r>
        <w:t xml:space="preserve">Confundir murmúrio abolido com diagnóstico único: ar e líquido podem alterar a ausculta.</w:t>
      </w:r>
    </w:p>
    <w:p>
      <w:pPr>
        <w:pStyle w:val="Compact"/>
        <w:numPr>
          <w:ilvl w:val="0"/>
          <w:numId w:val="1006"/>
        </w:numPr>
      </w:pPr>
      <w:r>
        <w:t xml:space="preserve">Misturar o volume inicial do dreno com a taxa horária.</w:t>
      </w:r>
    </w:p>
    <w:p>
      <w:pPr>
        <w:pStyle w:val="Compact"/>
        <w:numPr>
          <w:ilvl w:val="0"/>
          <w:numId w:val="1006"/>
        </w:numPr>
      </w:pPr>
      <w:r>
        <w:t xml:space="preserve">Usar os</w:t>
      </w:r>
      <w:r>
        <w:t xml:space="preserve"> </w:t>
      </w:r>
      <w:r>
        <w:rPr>
          <w:b/>
          <w:bCs/>
        </w:rPr>
        <w:t xml:space="preserve">1.500 mL do trauma</w:t>
      </w:r>
      <w:r>
        <w:t xml:space="preserve"> </w:t>
      </w:r>
      <w:r>
        <w:t xml:space="preserve">como se fossem a mesma regra da retirada de líquido no derrame.</w:t>
      </w:r>
    </w:p>
    <w:p>
      <w:pPr>
        <w:pStyle w:val="Compact"/>
        <w:numPr>
          <w:ilvl w:val="0"/>
          <w:numId w:val="1006"/>
        </w:numPr>
      </w:pPr>
      <w:r>
        <w:t xml:space="preserve">Subestimar dor e hipoventilação nas fraturas costais.</w:t>
      </w:r>
    </w:p>
    <w:p>
      <w:pPr>
        <w:pStyle w:val="Compact"/>
        <w:numPr>
          <w:ilvl w:val="0"/>
          <w:numId w:val="1006"/>
        </w:numPr>
      </w:pPr>
      <w:r>
        <w:t xml:space="preserve">Encerrar a avaliação após a primeira imagem, apesar da evolução da contusão.</w:t>
      </w:r>
    </w:p>
    <w:p>
      <w:pPr>
        <w:pStyle w:val="FirstParagraph"/>
      </w:pPr>
      <w:r>
        <w:rPr>
          <w:b/>
          <w:bCs/>
        </w:rPr>
        <w:t xml:space="preserve">Divergência a revisar — local de descompressão:</w:t>
      </w:r>
      <w:r>
        <w:t xml:space="preserve"> </w:t>
      </w:r>
      <w:r>
        <w:t xml:space="preserve">o caderno apresenta o</w:t>
      </w:r>
      <w:r>
        <w:t xml:space="preserve"> </w:t>
      </w:r>
      <w:r>
        <w:rPr>
          <w:b/>
          <w:bCs/>
        </w:rPr>
        <w:t xml:space="preserve">2º espaço intercostal na linha hemiclavicular</w:t>
      </w:r>
      <w:r>
        <w:t xml:space="preserve"> </w:t>
      </w:r>
      <w:r>
        <w:t xml:space="preserve">e o</w:t>
      </w:r>
      <w:r>
        <w:t xml:space="preserve"> </w:t>
      </w:r>
      <w:r>
        <w:rPr>
          <w:b/>
          <w:bCs/>
        </w:rPr>
        <w:t xml:space="preserve">5º espaço intercostal em região axilar anterior/média</w:t>
      </w:r>
      <w:r>
        <w:t xml:space="preserve">. A conferência direta do trecho “Symptomatic Simple and Tension Pneumothorax Management” do ATLS 11 confirmou os dois locais, com escolha dependente do paciente e do cenário. Não se atribui preferência exclusiva ao Sabiston sem trecho. O confronto com as apresentações da Medicina de Emergência permanece como divergência a revisar, detalhada no tema 5.</w:t>
      </w:r>
    </w:p>
    <w:bookmarkEnd w:id="31"/>
    <w:bookmarkStart w:id="32" w:name="o-que-lembrar-em-60-segundos-1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t xml:space="preserve">Começar por</w:t>
      </w:r>
      <w:r>
        <w:t xml:space="preserve"> </w:t>
      </w:r>
      <w:r>
        <w:rPr>
          <w:b/>
          <w:bCs/>
        </w:rPr>
        <w:t xml:space="preserve">XABCDE</w:t>
      </w:r>
      <w:r>
        <w:t xml:space="preserve">. Separar choque</w:t>
      </w:r>
      <w:r>
        <w:t xml:space="preserve"> </w:t>
      </w:r>
      <w:r>
        <w:rPr>
          <w:b/>
          <w:bCs/>
        </w:rPr>
        <w:t xml:space="preserve">obstrutivo</w:t>
      </w:r>
      <w:r>
        <w:t xml:space="preserve"> </w:t>
      </w:r>
      <w:r>
        <w:t xml:space="preserve">de</w:t>
      </w:r>
      <w:r>
        <w:t xml:space="preserve"> </w:t>
      </w:r>
      <w:r>
        <w:rPr>
          <w:b/>
          <w:bCs/>
        </w:rPr>
        <w:t xml:space="preserve">hemorrágico</w:t>
      </w:r>
      <w:r>
        <w:t xml:space="preserve">. Hipotensão + murmúrio unilateral abolido + timpanismo exige reconhecer pneumotórax hipertensivo. Trauma penetrante: considerar toracotomia com</w:t>
      </w:r>
      <w:r>
        <w:t xml:space="preserve"> </w:t>
      </w:r>
      <w:r>
        <w:rPr>
          <w:b/>
          <w:bCs/>
        </w:rPr>
        <w:t xml:space="preserve">&gt;1.500 mL iniciais OU &gt;250 mL/h por 4 horas</w:t>
      </w:r>
      <w:r>
        <w:t xml:space="preserve">. Três ou mais fraturas: dor, analgesia regional e hipoventilação. Dreno:</w:t>
      </w:r>
      <w:r>
        <w:t xml:space="preserve"> </w:t>
      </w:r>
      <w:r>
        <w:rPr>
          <w:b/>
          <w:bCs/>
        </w:rPr>
        <w:t xml:space="preserve">5º espaço intercostal</w:t>
      </w:r>
      <w:r>
        <w:t xml:space="preserve">, no triângulo de segurança. Local da descompressão:</w:t>
      </w:r>
      <w:r>
        <w:t xml:space="preserve"> </w:t>
      </w:r>
      <w:r>
        <w:rPr>
          <w:b/>
          <w:bCs/>
        </w:rPr>
        <w:t xml:space="preserve">divergência a revisar</w:t>
      </w:r>
      <w:r>
        <w:t xml:space="preserve">.</w:t>
      </w:r>
    </w:p>
    <w:bookmarkEnd w:id="32"/>
    <w:bookmarkStart w:id="33" w:name="fontesseções-do-caderno-usadas-1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ATLS Course Manual, 11ª edição:</w:t>
      </w:r>
      <w:r>
        <w:t xml:space="preserve"> </w:t>
      </w:r>
      <w:r>
        <w:t xml:space="preserve">avaliação primária, emergência torácica e contusão, conforme consulta do caderno.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Sabiston — 03 — Section 1 — Part C — Trauma:</w:t>
      </w:r>
      <w:r>
        <w:t xml:space="preserve"> </w:t>
      </w:r>
      <w:r>
        <w:t xml:space="preserve">trauma, débito do dreno e avaliação cirúrgica.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Shields — Section XVII — Thoracic Trauma:</w:t>
      </w:r>
      <w:r>
        <w:t xml:space="preserve"> </w:t>
      </w:r>
      <w:r>
        <w:t xml:space="preserve">lesões torácicas e critérios de sangramento apresentados no levantamento.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Medicina de Emergência — Abordagem Prática, 18ª edição:</w:t>
      </w:r>
      <w:r>
        <w:t xml:space="preserve"> </w:t>
      </w:r>
      <w:r>
        <w:t xml:space="preserve">reconhecimento, POCUS, drenagem e analgesia; capítulos específicos não confirmados diretamente.</w:t>
      </w:r>
    </w:p>
    <w:p>
      <w:r>
        <w:pict>
          <v:rect style="width:0;height:1.5pt" o:hralign="center" o:hrstd="t" o:hr="t"/>
        </w:pict>
      </w:r>
    </w:p>
    <w:bookmarkEnd w:id="33"/>
    <w:bookmarkEnd w:id="34"/>
    <w:bookmarkEnd w:id="35"/>
    <w:bookmarkStart w:id="48" w:name="derrame-pleural"/>
    <w:p>
      <w:pPr>
        <w:pStyle w:val="Heading2"/>
        <w:keepNext/>
        <w:keepLines/>
        <w:pageBreakBefore/>
      </w:pPr>
      <w:r>
        <w:t xml:space="preserve">3. Derrame pleural</w:t>
      </w:r>
    </w:p>
    <w:bookmarkStart w:id="39" w:name="X0ba660ef8ed380ccceb38c79dec1c9cd6f33d6e"/>
    <w:p>
      <w:pPr>
        <w:pStyle w:val="Heading3"/>
        <w:keepNext/>
        <w:keepLines/>
      </w:pPr>
      <w:r>
        <w:t xml:space="preserve">Bloco 1 — objetivos, conceitos e reconhecimento</w:t>
      </w:r>
    </w:p>
    <w:bookmarkStart w:id="36" w:name="objetivos-de-aprendizagem-2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08"/>
        </w:numPr>
      </w:pPr>
      <w:r>
        <w:t xml:space="preserve">Reconhecer a síndrome pleural e separar confirmação de líquido da investigação da causa.</w:t>
      </w:r>
    </w:p>
    <w:p>
      <w:pPr>
        <w:pStyle w:val="Compact"/>
        <w:numPr>
          <w:ilvl w:val="0"/>
          <w:numId w:val="1008"/>
        </w:numPr>
      </w:pPr>
      <w:r>
        <w:t xml:space="preserve">Aplicar corretamente os três critérios de Light.</w:t>
      </w:r>
    </w:p>
    <w:p>
      <w:pPr>
        <w:pStyle w:val="Compact"/>
        <w:numPr>
          <w:ilvl w:val="0"/>
          <w:numId w:val="1008"/>
        </w:numPr>
      </w:pPr>
      <w:r>
        <w:t xml:space="preserve">Identificar marcadores de derrame parapneumônico complicado, tuberculose pleural e quilotórax.</w:t>
      </w:r>
    </w:p>
    <w:p>
      <w:pPr>
        <w:pStyle w:val="Compact"/>
        <w:numPr>
          <w:ilvl w:val="0"/>
          <w:numId w:val="1008"/>
        </w:numPr>
      </w:pPr>
      <w:r>
        <w:t xml:space="preserve">Distinguir toracocentese diagnóstica, alívio sintomático e drenagem pleural.</w:t>
      </w:r>
    </w:p>
    <w:bookmarkEnd w:id="36"/>
    <w:bookmarkStart w:id="37" w:name="conceitos-essenciais-2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Derrame pleural é acúmulo de líquido no espaço pleural. A consulta organiza sua formação como desequilíbrio entre produção e reabsorção. A classificação em transudato e exsudato serve para orientar a investigação: não é, sozinha, o diagnóstico etiológico.</w:t>
      </w:r>
    </w:p>
    <w:p>
      <w:pPr>
        <w:pStyle w:val="BodyText"/>
      </w:pPr>
      <w:r>
        <w:t xml:space="preserve">Os transudatos são relacionados a alterações sistêmicas das forças que regulam a movimentação de líquido; os exsudatos, a processos locais, inflamatórios, neoplásicos ou de drenagem linfática. Essa distinção explica por que o resultado bioquímico deve retornar ao contexto clínico.</w:t>
      </w:r>
    </w:p>
    <w:p>
      <w:pPr>
        <w:pStyle w:val="BodyText"/>
      </w:pPr>
      <w:r>
        <w:rPr>
          <w:b/>
          <w:bCs/>
        </w:rPr>
        <w:t xml:space="preserve">Critérios de Light: basta qualquer um para classificar como exsudato.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4067"/>
        <w:gridCol w:w="5293"/>
      </w:tblGrid>
      <w:tr>
        <w:trPr>
          <w:tblHeader w:val="on"/>
        </w:trPr>
        <w:tc>
          <w:tcPr>
            <w:tcW w:type="dxa" w:w="4067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Parâmetro</w:t>
            </w:r>
          </w:p>
        </w:tc>
        <w:tc>
          <w:tcPr>
            <w:tcW w:type="dxa" w:w="5293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Critério do levantamento</w:t>
            </w:r>
          </w:p>
        </w:tc>
      </w:tr>
      <w:tr>
        <w:tc>
          <w:tcPr>
            <w:tcW w:type="dxa" w:w="406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Proteína pleural / proteína sérica</w:t>
            </w:r>
          </w:p>
        </w:tc>
        <w:tc>
          <w:tcPr>
            <w:tcW w:type="dxa" w:w="529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&gt;0,5</w:t>
            </w:r>
          </w:p>
        </w:tc>
      </w:tr>
      <w:tr>
        <w:tc>
          <w:tcPr>
            <w:tcW w:type="dxa" w:w="406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DHL pleural / DHL sérica</w:t>
            </w:r>
          </w:p>
        </w:tc>
        <w:tc>
          <w:tcPr>
            <w:tcW w:type="dxa" w:w="529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&gt;0,6</w:t>
            </w:r>
          </w:p>
        </w:tc>
      </w:tr>
      <w:tr>
        <w:tc>
          <w:tcPr>
            <w:tcW w:type="dxa" w:w="406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DHL pleural</w:t>
            </w:r>
          </w:p>
        </w:tc>
        <w:tc>
          <w:tcPr>
            <w:tcW w:type="dxa" w:w="529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&gt;2/3 do limite superior da normalidade da DHL sérica</w:t>
            </w:r>
          </w:p>
        </w:tc>
      </w:tr>
    </w:tbl>
    <w:p>
      <w:pPr>
        <w:pStyle w:val="BodyText"/>
      </w:pPr>
      <w:r>
        <w:t xml:space="preserve">No terceiro critério, o comparador é o limite superior de referência do laboratório, e não simplesmente a DHL medida no paciente. Não se substitui essa relação por um número absoluto de DHL: a resposta ampliada apresentou valores distintos, que não foram incorporados.</w:t>
      </w:r>
    </w:p>
    <w:bookmarkEnd w:id="37"/>
    <w:bookmarkStart w:id="38" w:name="reconhecimento-e-avaliação-2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A consulta descreve dispneia, dor pleurítica, redução da expansibilidade, diminuição do murmúrio, macicez e redução do frêmito. Avalie a repercussão respiratória e procure elementos para a causa, como infecção, contexto neoplásico ou doença sistêmica.</w:t>
      </w:r>
    </w:p>
    <w:p>
      <w:pPr>
        <w:pStyle w:val="BodyText"/>
      </w:pPr>
      <w:r>
        <w:t xml:space="preserve">A análise do líquido deve responder a questões diferentes: sua classificação, sinais de infecção e pistas etiológicas. O aspecto macroscópico orienta, mas não substitui todos os exames. Pus é um achado decisivo para empiema no material; aspecto leitoso precisa ser relacionado à avaliação de triglicerídeos.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2083"/>
        <w:gridCol w:w="3473"/>
        <w:gridCol w:w="3804"/>
      </w:tblGrid>
      <w:tr>
        <w:trPr>
          <w:tblHeader w:val="on"/>
        </w:trPr>
        <w:tc>
          <w:tcPr>
            <w:tcW w:type="dxa" w:w="2083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Contexto</w:t>
            </w:r>
          </w:p>
        </w:tc>
        <w:tc>
          <w:tcPr>
            <w:tcW w:type="dxa" w:w="3473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Achados preservados do levantamento</w:t>
            </w:r>
          </w:p>
        </w:tc>
        <w:tc>
          <w:tcPr>
            <w:tcW w:type="dxa" w:w="3804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Interpretação para revisão</w:t>
            </w:r>
          </w:p>
        </w:tc>
      </w:tr>
      <w:tr>
        <w:tc>
          <w:tcPr>
            <w:tcW w:type="dxa" w:w="208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Parapneumônico complicado</w:t>
            </w:r>
          </w:p>
        </w:tc>
        <w:tc>
          <w:tcPr>
            <w:tcW w:type="dxa" w:w="34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pH &lt;7,2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,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glicose &lt;60 mg/dL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, Gram/cultura positivos ou pus</w:t>
            </w:r>
          </w:p>
        </w:tc>
        <w:tc>
          <w:tcPr>
            <w:tcW w:type="dxa" w:w="38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Procurar necessidade de drenagem; não exigir todos simultaneamente</w:t>
            </w:r>
          </w:p>
        </w:tc>
      </w:tr>
      <w:tr>
        <w:tc>
          <w:tcPr>
            <w:tcW w:type="dxa" w:w="208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Tuberculose pleural</w:t>
            </w:r>
          </w:p>
        </w:tc>
        <w:tc>
          <w:tcPr>
            <w:tcW w:type="dxa" w:w="34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Exsudato linfocítico e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ADA &gt;35 U/L</w:t>
            </w:r>
          </w:p>
        </w:tc>
        <w:tc>
          <w:tcPr>
            <w:tcW w:type="dxa" w:w="38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Padrão que sustenta a suspeita no contexto clínico</w:t>
            </w:r>
          </w:p>
        </w:tc>
      </w:tr>
      <w:tr>
        <w:tc>
          <w:tcPr>
            <w:tcW w:type="dxa" w:w="208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Quilotórax</w:t>
            </w:r>
          </w:p>
        </w:tc>
        <w:tc>
          <w:tcPr>
            <w:tcW w:type="dxa" w:w="347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Líquido leitoso e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triglicerídeos &gt;110 mg/dL</w:t>
            </w:r>
          </w:p>
        </w:tc>
        <w:tc>
          <w:tcPr>
            <w:tcW w:type="dxa" w:w="38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Associação de aspecto e bioquímica</w:t>
            </w:r>
          </w:p>
        </w:tc>
      </w:tr>
    </w:tbl>
    <w:p>
      <w:pPr>
        <w:pStyle w:val="BodyText"/>
      </w:pPr>
      <w:r>
        <w:t xml:space="preserve">Não transforme ADA isolada em diagnóstico obrigatório de tuberculose nem todo exsudato em infecção. O caderno inclui a neoplasia entre as causas a investigar e menciona a citologia como parte dessa avaliação.</w:t>
      </w:r>
    </w:p>
    <w:bookmarkEnd w:id="38"/>
    <w:bookmarkEnd w:id="39"/>
    <w:bookmarkStart w:id="42" w:name="X29513eb6792deae0b27d44c916e1bb86b398bd7"/>
    <w:p>
      <w:pPr>
        <w:pStyle w:val="Heading3"/>
        <w:keepNext/>
        <w:keepLines/>
      </w:pPr>
      <w:r>
        <w:t xml:space="preserve">Bloco 2 — anatomia aplicada e interpretação radiológica</w:t>
      </w:r>
    </w:p>
    <w:bookmarkStart w:id="40" w:name="anatomia-aplicada-2"/>
    <w:p>
      <w:pPr>
        <w:pStyle w:val="Heading4"/>
        <w:keepNext/>
        <w:keepLines/>
      </w:pPr>
      <w:r>
        <w:t xml:space="preserve">Anatomia aplicada</w:t>
      </w:r>
    </w:p>
    <w:p>
      <w:pPr>
        <w:pStyle w:val="FirstParagraph"/>
      </w:pPr>
      <w:r>
        <w:t xml:space="preserve">A pleura visceral acompanha o pulmão e suas fissuras; a parietal reveste a parede torácica, o diafragma e o mediastino. A consulta destaca a pleura parietal na sensibilidade dolorosa e na reabsorção linfática do líquido.</w:t>
      </w:r>
    </w:p>
    <w:p>
      <w:pPr>
        <w:pStyle w:val="BodyText"/>
      </w:pPr>
      <w:r>
        <w:t xml:space="preserve">O espaço pleural é o compartimento-alvo, mas a relação com pulmão, diafragma e parede precisa ser respeitada. Essa anatomia explica a utilidade de localizar o líquido antes da punção e o risco de lesar estruturas vizinhas. Líquido livre e coleção loculada não representam o mesmo desenho anatômico.</w:t>
      </w:r>
    </w:p>
    <w:p>
      <w:pPr>
        <w:pStyle w:val="BodyText"/>
      </w:pPr>
      <w:r>
        <w:t xml:space="preserve">O</w:t>
      </w:r>
      <w:r>
        <w:t xml:space="preserve"> </w:t>
      </w:r>
      <w:r>
        <w:rPr>
          <w:b/>
          <w:bCs/>
        </w:rPr>
        <w:t xml:space="preserve">5º espaço intercostal entre as linhas axilar anterior e média</w:t>
      </w:r>
      <w:r>
        <w:t xml:space="preserve"> </w:t>
      </w:r>
      <w:r>
        <w:t xml:space="preserve">é o marco de dreno fornecido no levantamento. Ele não substitui a localização de uma coleção específica nem deve ser interpretado como ponto universal para qualquer toracocentese diagnóstica.</w:t>
      </w:r>
    </w:p>
    <w:bookmarkEnd w:id="40"/>
    <w:bookmarkStart w:id="41" w:name="interpretação-radiológica-2"/>
    <w:p>
      <w:pPr>
        <w:pStyle w:val="Heading4"/>
        <w:keepNext/>
        <w:keepLines/>
      </w:pPr>
      <w:r>
        <w:t xml:space="preserve">Interpretação radiológica</w:t>
      </w:r>
    </w:p>
    <w:p>
      <w:pPr>
        <w:pStyle w:val="FirstParagraph"/>
      </w:pPr>
      <w:r>
        <w:t xml:space="preserve">No RX em ortostase, o achado destacado é o</w:t>
      </w:r>
      <w:r>
        <w:t xml:space="preserve"> </w:t>
      </w:r>
      <w:r>
        <w:rPr>
          <w:b/>
          <w:bCs/>
        </w:rPr>
        <w:t xml:space="preserve">menisco</w:t>
      </w:r>
      <w:r>
        <w:t xml:space="preserve">, associado à opacidade do líquido pleural. A posição modifica sua distribuição: a consulta descreve velamento mais difuso em exames no leito. Assim, ausência de menisco típico em uma incidência não deve ser usada isoladamente para descartar líquido.</w:t>
      </w:r>
    </w:p>
    <w:p>
      <w:pPr>
        <w:pStyle w:val="BodyText"/>
      </w:pPr>
      <w:r>
        <w:t xml:space="preserve">O ultrassom permite identificar líquido, procurar septações/loculações e orientar a escolha do sítio de punção. Esses usos são distintos: demonstrar o derrame, caracterizá-lo e planejar acesso. O exame não substitui a bioquímica do líquido para aplicar Light.</w:t>
      </w:r>
    </w:p>
    <w:p>
      <w:pPr>
        <w:pStyle w:val="BodyText"/>
      </w:pPr>
      <w:r>
        <w:rPr>
          <w:b/>
          <w:bCs/>
        </w:rPr>
        <w:t xml:space="preserve">Separe os tipos de dado:</w:t>
      </w:r>
      <w:r>
        <w:t xml:space="preserve"> </w:t>
      </w:r>
      <w:r>
        <w:t xml:space="preserve">menisco e septações são imagem; proteína, DHL, pH, glicose, ADA e triglicerídeos são laboratório. O primeiro localiza e caracteriza a coleção; o segundo classifica e contribui para a etiologia e a decisão.</w:t>
      </w:r>
    </w:p>
    <w:bookmarkEnd w:id="41"/>
    <w:bookmarkEnd w:id="42"/>
    <w:bookmarkStart w:id="47" w:name="X55b54da474ee22a39a68b6e2285e9fe33eeb929"/>
    <w:p>
      <w:pPr>
        <w:pStyle w:val="Heading3"/>
        <w:keepNext/>
        <w:keepLines/>
      </w:pPr>
      <w:r>
        <w:t xml:space="preserve">Bloco 3 — decisão, complicações e retenção</w:t>
      </w:r>
    </w:p>
    <w:bookmarkStart w:id="43" w:name="X625f4398ad6a443ee95fdd0f33c9cb3010ae984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Reconhecer repercussão respiratória:</w:t>
      </w:r>
      <w:r>
        <w:t xml:space="preserve"> </w:t>
      </w:r>
      <w:r>
        <w:t xml:space="preserve">definir se há necessidade de alívio além da investigação.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Confirmar e localizar o líquido:</w:t>
      </w:r>
      <w:r>
        <w:t xml:space="preserve"> </w:t>
      </w:r>
      <w:r>
        <w:t xml:space="preserve">correlacionar exame físico e imagem; usar ultrassom no planejamento da punção conforme discutido pelo caderno.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Investigar a causa:</w:t>
      </w:r>
      <w:r>
        <w:t xml:space="preserve"> </w:t>
      </w:r>
      <w:r>
        <w:t xml:space="preserve">quando indicada, a toracocentese fornece material para classificação e exames dirigidos.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Aplicar Light:</w:t>
      </w:r>
      <w:r>
        <w:t xml:space="preserve"> </w:t>
      </w:r>
      <w:r>
        <w:t xml:space="preserve">classificar como exsudato se pelo menos um critério estiver presente.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No contexto parapneumônico:</w:t>
      </w:r>
      <w:r>
        <w:t xml:space="preserve"> </w:t>
      </w:r>
      <w:r>
        <w:t xml:space="preserve">identificar pH baixo, glicose baixa, microbiologia positiva ou pus. O material relaciona esses achados à drenagem torácica.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Controlar a retirada de líquido:</w:t>
      </w:r>
      <w:r>
        <w:t xml:space="preserve"> </w:t>
      </w:r>
      <w:r>
        <w:t xml:space="preserve">manter o alerta do levantamento contra drenagem rápida acima de</w:t>
      </w:r>
      <w:r>
        <w:t xml:space="preserve"> </w:t>
      </w:r>
      <w:r>
        <w:rPr>
          <w:b/>
          <w:bCs/>
        </w:rPr>
        <w:t xml:space="preserve">1.500 mL</w:t>
      </w:r>
      <w:r>
        <w:t xml:space="preserve">, pelo risco de edema pulmonar de reexpansão.</w:t>
      </w:r>
    </w:p>
    <w:p>
      <w:pPr>
        <w:pStyle w:val="FirstParagraph"/>
      </w:pPr>
      <w:r>
        <w:t xml:space="preserve">O número de 1.500 mL é apresentado aqui como alerta contextual de retirada de líquido, não como garantia de segurança abaixo dele. Não é equivalente ao critério de sangramento inicial que leva a considerar toracotomia no trauma.</w:t>
      </w:r>
    </w:p>
    <w:bookmarkEnd w:id="43"/>
    <w:bookmarkStart w:id="44" w:name="X4d59f542a59bcb9b53d4bb7245addb3283bbb09"/>
    <w:p>
      <w:pPr>
        <w:pStyle w:val="Heading4"/>
        <w:keepNext/>
        <w:keepLines/>
      </w:pPr>
      <w:r>
        <w:t xml:space="preserve">Complicações e armadilhas de prova/plantão</w:t>
      </w:r>
    </w:p>
    <w:p>
      <w:pPr>
        <w:pStyle w:val="FirstParagraph"/>
      </w:pPr>
      <w:r>
        <w:rPr>
          <w:b/>
          <w:bCs/>
        </w:rPr>
        <w:t xml:space="preserve">Pseudoexsudato:</w:t>
      </w:r>
      <w:r>
        <w:t xml:space="preserve"> </w:t>
      </w:r>
      <w:r>
        <w:t xml:space="preserve">o caderno discute que diuréticos podem alterar a classificação de derrames ligados à insuficiência cardíaca. Quando a classificação e o contexto não combinam, revisar a interpretação; não concluir automaticamente que uma nova causa inflamatória foi demonstrada.</w:t>
      </w:r>
    </w:p>
    <w:p>
      <w:pPr>
        <w:pStyle w:val="BodyText"/>
      </w:pPr>
      <w:r>
        <w:rPr>
          <w:b/>
          <w:bCs/>
        </w:rPr>
        <w:t xml:space="preserve">Infecção pleural:</w:t>
      </w:r>
      <w:r>
        <w:t xml:space="preserve"> </w:t>
      </w:r>
      <w:r>
        <w:t xml:space="preserve">a presença de pus já é um dado importante, e não se deve exigir que todos os parâmetros estejam alterados antes de reconhecer gravidade. Na prova, identificar se o enunciado pergunta classificação, etiologia ou conduta evita responder apenas “exsudato” quando o problema é drenagem.</w:t>
      </w:r>
    </w:p>
    <w:p>
      <w:pPr>
        <w:pStyle w:val="BodyText"/>
      </w:pPr>
      <w:r>
        <w:rPr>
          <w:b/>
          <w:bCs/>
        </w:rPr>
        <w:t xml:space="preserve">Procedimentos:</w:t>
      </w:r>
      <w:r>
        <w:t xml:space="preserve"> </w:t>
      </w:r>
      <w:r>
        <w:t xml:space="preserve">pneumotórax, sangramento e edema de reexpansão foram destacados. A melhora inicial após retirada de líquido não elimina a necessidade de observar a evolução clínica.</w:t>
      </w:r>
    </w:p>
    <w:p>
      <w:pPr>
        <w:pStyle w:val="BodyText"/>
      </w:pPr>
      <w:r>
        <w:rPr>
          <w:b/>
          <w:bCs/>
        </w:rPr>
        <w:t xml:space="preserve">Divergência a revisar:</w:t>
      </w:r>
      <w:r>
        <w:t xml:space="preserve"> </w:t>
      </w:r>
      <w:r>
        <w:t xml:space="preserve">a consulta ampliada mencionou limites alternativos de glicose e DHL sem individualizar adequadamente os trechos. Este guia preserva</w:t>
      </w:r>
      <w:r>
        <w:t xml:space="preserve"> </w:t>
      </w:r>
      <w:r>
        <w:rPr>
          <w:b/>
          <w:bCs/>
        </w:rPr>
        <w:t xml:space="preserve">glicose &lt;60 mg/dL</w:t>
      </w:r>
      <w:r>
        <w:t xml:space="preserve"> </w:t>
      </w:r>
      <w:r>
        <w:t xml:space="preserve">e os critérios de Light exatamente como no levantamento, sem fundir classificações.</w:t>
      </w:r>
    </w:p>
    <w:bookmarkEnd w:id="44"/>
    <w:bookmarkStart w:id="45" w:name="o-que-lembrar-em-60-segundos-2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rPr>
          <w:b/>
          <w:bCs/>
        </w:rPr>
        <w:t xml:space="preserve">Light: 0,5 / 0,6 / 2/3; basta um.</w:t>
      </w:r>
      <w:r>
        <w:t xml:space="preserve"> </w:t>
      </w:r>
      <w:r>
        <w:t xml:space="preserve">Parapneumônico:</w:t>
      </w:r>
      <w:r>
        <w:t xml:space="preserve"> </w:t>
      </w:r>
      <w:r>
        <w:rPr>
          <w:b/>
          <w:bCs/>
        </w:rPr>
        <w:t xml:space="preserve">pH &lt;7,2</w:t>
      </w:r>
      <w:r>
        <w:t xml:space="preserve">,</w:t>
      </w:r>
      <w:r>
        <w:t xml:space="preserve"> </w:t>
      </w:r>
      <w:r>
        <w:rPr>
          <w:b/>
          <w:bCs/>
        </w:rPr>
        <w:t xml:space="preserve">glicose &lt;60 mg/dL</w:t>
      </w:r>
      <w:r>
        <w:t xml:space="preserve">, microbiologia positiva ou pus são alertas de complicação/drenagem. TB pleural: exsudato linfocítico +</w:t>
      </w:r>
      <w:r>
        <w:t xml:space="preserve"> </w:t>
      </w:r>
      <w:r>
        <w:rPr>
          <w:b/>
          <w:bCs/>
        </w:rPr>
        <w:t xml:space="preserve">ADA &gt;35 U/L</w:t>
      </w:r>
      <w:r>
        <w:t xml:space="preserve">. Quilotórax: leitoso +</w:t>
      </w:r>
      <w:r>
        <w:t xml:space="preserve"> </w:t>
      </w:r>
      <w:r>
        <w:rPr>
          <w:b/>
          <w:bCs/>
        </w:rPr>
        <w:t xml:space="preserve">TG &gt;110 mg/dL</w:t>
      </w:r>
      <w:r>
        <w:t xml:space="preserve">. RX:</w:t>
      </w:r>
      <w:r>
        <w:t xml:space="preserve"> </w:t>
      </w:r>
      <w:r>
        <w:rPr>
          <w:b/>
          <w:bCs/>
        </w:rPr>
        <w:t xml:space="preserve">menisco</w:t>
      </w:r>
      <w:r>
        <w:t xml:space="preserve">. Ultrassom: líquido, loculações e acesso. Evitar retirada rápida acima de</w:t>
      </w:r>
      <w:r>
        <w:t xml:space="preserve"> </w:t>
      </w:r>
      <w:r>
        <w:rPr>
          <w:b/>
          <w:bCs/>
        </w:rPr>
        <w:t xml:space="preserve">1.500 mL</w:t>
      </w:r>
      <w:r>
        <w:t xml:space="preserve"> </w:t>
      </w:r>
      <w:r>
        <w:t xml:space="preserve">pelo risco de reexpansão.</w:t>
      </w:r>
    </w:p>
    <w:bookmarkEnd w:id="45"/>
    <w:bookmarkStart w:id="46" w:name="fontesseções-do-caderno-usadas-2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Sabiston — 09 — Section 1 — Part I — Pleura:</w:t>
      </w:r>
      <w:r>
        <w:t xml:space="preserve"> </w:t>
      </w:r>
      <w:r>
        <w:t xml:space="preserve">fisiopatologia e abordagem pleural na consulta ampliada.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Shields — Section XII — The Pleura:</w:t>
      </w:r>
      <w:r>
        <w:t xml:space="preserve"> </w:t>
      </w:r>
      <w:r>
        <w:t xml:space="preserve">doenças pleurais e avaliação do derrame.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Medicina de Emergência — Abordagem Prática, 18ª edição:</w:t>
      </w:r>
      <w:r>
        <w:t xml:space="preserve"> </w:t>
      </w:r>
      <w:r>
        <w:t xml:space="preserve">Light, análise do líquido, parapneumônico, ultrassom e drenagem. O capítulo exato não foi confirmado diretamente.</w:t>
      </w:r>
    </w:p>
    <w:p>
      <w:r>
        <w:pict>
          <v:rect style="width:0;height:1.5pt" o:hralign="center" o:hrstd="t" o:hr="t"/>
        </w:pict>
      </w:r>
    </w:p>
    <w:bookmarkEnd w:id="46"/>
    <w:bookmarkEnd w:id="47"/>
    <w:bookmarkEnd w:id="48"/>
    <w:bookmarkStart w:id="61" w:name="neoplasia-de-pulmão"/>
    <w:p>
      <w:pPr>
        <w:pStyle w:val="Heading2"/>
        <w:keepNext/>
        <w:keepLines/>
        <w:pageBreakBefore/>
      </w:pPr>
      <w:r>
        <w:t xml:space="preserve">4. Neoplasia de pulmão</w:t>
      </w:r>
    </w:p>
    <w:bookmarkStart w:id="52" w:name="Xf05469215665e41db067c6951b14356b705e01b"/>
    <w:p>
      <w:pPr>
        <w:pStyle w:val="Heading3"/>
        <w:keepNext/>
        <w:keepLines/>
      </w:pPr>
      <w:r>
        <w:t xml:space="preserve">Bloco 1 — objetivos, conceitos e reconhecimento</w:t>
      </w:r>
    </w:p>
    <w:bookmarkStart w:id="49" w:name="objetivos-de-aprendizagem-3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11"/>
        </w:numPr>
      </w:pPr>
      <w:r>
        <w:t xml:space="preserve">Separar achado de nódulo, suspeita de malignidade, confirmação histológica e estadiamento.</w:t>
      </w:r>
    </w:p>
    <w:p>
      <w:pPr>
        <w:pStyle w:val="Compact"/>
        <w:numPr>
          <w:ilvl w:val="0"/>
          <w:numId w:val="1011"/>
        </w:numPr>
      </w:pPr>
      <w:r>
        <w:t xml:space="preserve">Diferenciar SCLC de NSCLC quanto ao eixo terapêutico apresentado pelas fontes.</w:t>
      </w:r>
    </w:p>
    <w:p>
      <w:pPr>
        <w:pStyle w:val="Compact"/>
        <w:numPr>
          <w:ilvl w:val="0"/>
          <w:numId w:val="1011"/>
        </w:numPr>
      </w:pPr>
      <w:r>
        <w:t xml:space="preserve">Relacionar sintomas à localização e à extensão da doença.</w:t>
      </w:r>
    </w:p>
    <w:p>
      <w:pPr>
        <w:pStyle w:val="Compact"/>
        <w:numPr>
          <w:ilvl w:val="0"/>
          <w:numId w:val="1011"/>
        </w:numPr>
      </w:pPr>
      <w:r>
        <w:t xml:space="preserve">Evitar indicação de tratamento baseada somente em tamanho ou aparência da lesão.</w:t>
      </w:r>
    </w:p>
    <w:bookmarkEnd w:id="49"/>
    <w:bookmarkStart w:id="50" w:name="conceitos-essenciais-3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“Neoplasia pulmonar” não é uma categoria terapêutica única. O levantamento destaca a separação entre</w:t>
      </w:r>
      <w:r>
        <w:t xml:space="preserve"> </w:t>
      </w:r>
      <w:r>
        <w:rPr>
          <w:b/>
          <w:bCs/>
        </w:rPr>
        <w:t xml:space="preserve">carcinoma de pequenas células (SCLC)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carcinoma de células não pequenas (NSCLC)</w:t>
      </w:r>
      <w:r>
        <w:t xml:space="preserve">. A consulta inclui adenocarcinoma, escamoso e grandes células entre os grupos de NSCLC.</w:t>
      </w:r>
    </w:p>
    <w:p>
      <w:pPr>
        <w:pStyle w:val="BodyText"/>
      </w:pPr>
      <w:r>
        <w:t xml:space="preserve">O ponto central é que histologia e extensão modificam a decisão. Segundo o levantamento, SCLC apresenta maior resposta a quimioterapia/radioterapia e raramente tem tratamento cirúrgico. No</w:t>
      </w:r>
      <w:r>
        <w:t xml:space="preserve"> </w:t>
      </w:r>
      <w:r>
        <w:rPr>
          <w:b/>
          <w:bCs/>
        </w:rPr>
        <w:t xml:space="preserve">NSCLC inicial T1–T2 N0</w:t>
      </w:r>
      <w:r>
        <w:t xml:space="preserve">, a cirurgia aparece como tratamento principal. Essa formulação pressupõe o contexto de doença inicial descrito, não autoriza cirurgia para qualquer tumor de mesmo tamanho.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317"/>
        <w:gridCol w:w="6043"/>
      </w:tblGrid>
      <w:tr>
        <w:trPr>
          <w:tblHeader w:val="on"/>
        </w:trPr>
        <w:tc>
          <w:tcPr>
            <w:tcW w:type="dxa" w:w="3317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Etapa</w:t>
            </w:r>
          </w:p>
        </w:tc>
        <w:tc>
          <w:tcPr>
            <w:tcW w:type="dxa" w:w="6043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O que precisa ficar definido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Detecção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Existe uma lesão pulmonar e onde ela está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Caracterização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Quais aspectos aumentam ou reduzem suspeita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Confirmação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Qual é a natureza histológica da lesão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Estadiamento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Qual é a extensão tumoral e linfonodal/metastática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Avaliação funcional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Se o paciente pode tolerar o tratamento proposto</w:t>
            </w:r>
          </w:p>
        </w:tc>
      </w:tr>
      <w:tr>
        <w:tc>
          <w:tcPr>
            <w:tcW w:type="dxa" w:w="331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Tratamento</w:t>
            </w:r>
          </w:p>
        </w:tc>
        <w:tc>
          <w:tcPr>
            <w:tcW w:type="dxa" w:w="6043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Integrar histologia, extensão e condição clínica</w:t>
            </w:r>
          </w:p>
        </w:tc>
      </w:tr>
    </w:tbl>
    <w:bookmarkEnd w:id="50"/>
    <w:bookmarkStart w:id="51" w:name="reconhecimento-e-avaliação-3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A consulta ampliada descreve tosse persistente ou modificada, hemoptise, dispneia, dor torácica, rouquidão e disfagia. A utilidade para prova é relacionar sintomas à localização: obstrução brônquica, comprometimento de estruturas mediastinais ou invasão da parede podem produzir apresentações diferentes.</w:t>
      </w:r>
    </w:p>
    <w:p>
      <w:pPr>
        <w:pStyle w:val="BodyText"/>
      </w:pPr>
      <w:r>
        <w:t xml:space="preserve">Os quadros de tumor apical e compressão da veia cava superior foram destacados no caderno. Dor no ombro irradiada para o membro superior, alterações neurológicas e síndrome de Horner remetem às relações do ápice; edema de face/pescoço/membros superiores e circulação colateral orientam para comprometimento venoso central.</w:t>
      </w:r>
    </w:p>
    <w:p>
      <w:pPr>
        <w:pStyle w:val="BodyText"/>
      </w:pPr>
      <w:r>
        <w:t xml:space="preserve">O material também discute síndromes paraneoplásicas: hipercalcemia associada ao escamoso e alterações como secreção inapropriada de hormônio antidiurético e ACTH ectópico no SCLC. Elas devem funcionar como pistas de integração clínica, sem substituir a confirmação diagnóstica.</w:t>
      </w:r>
    </w:p>
    <w:bookmarkEnd w:id="51"/>
    <w:bookmarkEnd w:id="52"/>
    <w:bookmarkStart w:id="55" w:name="X7203a4941456a7c09662bd3158f8f708521c9fc"/>
    <w:p>
      <w:pPr>
        <w:pStyle w:val="Heading3"/>
        <w:keepNext/>
        <w:keepLines/>
      </w:pPr>
      <w:r>
        <w:t xml:space="preserve">Bloco 2 — anatomia aplicada e interpretação radiológica</w:t>
      </w:r>
    </w:p>
    <w:bookmarkStart w:id="53" w:name="anatomia-aplicada-3"/>
    <w:p>
      <w:pPr>
        <w:pStyle w:val="Heading4"/>
        <w:keepNext/>
        <w:keepLines/>
      </w:pPr>
      <w:r>
        <w:t xml:space="preserve">Anatomia aplicada</w:t>
      </w:r>
    </w:p>
    <w:p>
      <w:pPr>
        <w:pStyle w:val="FirstParagraph"/>
      </w:pPr>
      <w:r>
        <w:t xml:space="preserve">A localização central ou periférica interfere na manifestação e na via de investigação. A consulta relaciona lesões centrais à avaliação broncoscópica e periféricas à possibilidade de biópsia guiada por imagem. Essa relação orienta a escolha, sem constituir uma regra exclusiva.</w:t>
      </w:r>
    </w:p>
    <w:p>
      <w:pPr>
        <w:pStyle w:val="BodyText"/>
      </w:pPr>
      <w:r>
        <w:t xml:space="preserve">No ápice, a proximidade com parede torácica, plexo braquial e cadeia simpática explica sintomas de tumores do sulco superior. No mediastino, as relações com nervos, esôfago e grandes vasos explicam rouquidão, disfagia e síndromes compressivas.</w:t>
      </w:r>
    </w:p>
    <w:p>
      <w:pPr>
        <w:pStyle w:val="BodyText"/>
      </w:pPr>
      <w:r>
        <w:t xml:space="preserve">A drenagem linfática é fundamental ao estadiamento. Envolvimento hilar e mediastinal não deve ser confundido com mero aumento do diâmetro do tumor primário. O guia não reproduz tabelas completas de TNM nem cria equivalência entre estágios de edições diferentes.</w:t>
      </w:r>
    </w:p>
    <w:bookmarkEnd w:id="53"/>
    <w:bookmarkStart w:id="54" w:name="interpretação-radiológica-3"/>
    <w:p>
      <w:pPr>
        <w:pStyle w:val="Heading4"/>
        <w:keepNext/>
        <w:keepLines/>
      </w:pPr>
      <w:r>
        <w:t xml:space="preserve">Interpretação radiológica</w:t>
      </w:r>
    </w:p>
    <w:p>
      <w:pPr>
        <w:pStyle w:val="FirstParagraph"/>
      </w:pPr>
      <w:r>
        <w:t xml:space="preserve">O levantamento define</w:t>
      </w:r>
      <w:r>
        <w:t xml:space="preserve"> </w:t>
      </w:r>
      <w:r>
        <w:rPr>
          <w:b/>
          <w:bCs/>
        </w:rPr>
        <w:t xml:space="preserve">nódulo pulmonar solitário</w:t>
      </w:r>
      <w:r>
        <w:t xml:space="preserve"> </w:t>
      </w:r>
      <w:r>
        <w:t xml:space="preserve">como opacidade intraparenquimatosa</w:t>
      </w:r>
      <w:r>
        <w:t xml:space="preserve"> </w:t>
      </w:r>
      <w:r>
        <w:rPr>
          <w:b/>
          <w:bCs/>
        </w:rPr>
        <w:t xml:space="preserve">&lt;3 cm, sem atelectasia associada</w:t>
      </w:r>
      <w:r>
        <w:t xml:space="preserve">. A resposta ampliada usou também “≤3 cm”; essa diferença de limite permanece como</w:t>
      </w:r>
      <w:r>
        <w:t xml:space="preserve"> </w:t>
      </w:r>
      <w:r>
        <w:rPr>
          <w:b/>
          <w:bCs/>
        </w:rPr>
        <w:t xml:space="preserve">ponto a conferir</w:t>
      </w:r>
      <w:r>
        <w:t xml:space="preserve">, mantendo-se neste guia a redação original fornecida.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385"/>
        <w:gridCol w:w="5975"/>
      </w:tblGrid>
      <w:tr>
        <w:trPr>
          <w:tblHeader w:val="on"/>
        </w:trPr>
        <w:tc>
          <w:tcPr>
            <w:tcW w:type="dxa" w:w="338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Padrão</w:t>
            </w:r>
          </w:p>
        </w:tc>
        <w:tc>
          <w:tcPr>
            <w:tcW w:type="dxa" w:w="597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Significado no levantamento</w:t>
            </w:r>
          </w:p>
        </w:tc>
      </w:tr>
      <w:tr>
        <w:tc>
          <w:tcPr>
            <w:tcW w:type="dxa" w:w="338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Calcificação em pipoca</w:t>
            </w:r>
          </w:p>
        </w:tc>
        <w:tc>
          <w:tcPr>
            <w:tcW w:type="dxa" w:w="597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Favorece padrão benigno; o caderno associa ao hamartoma</w:t>
            </w:r>
          </w:p>
        </w:tc>
      </w:tr>
      <w:tr>
        <w:tc>
          <w:tcPr>
            <w:tcW w:type="dxa" w:w="338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Calcificação central</w:t>
            </w:r>
          </w:p>
        </w:tc>
        <w:tc>
          <w:tcPr>
            <w:tcW w:type="dxa" w:w="597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Favorece padrão benigno</w:t>
            </w:r>
          </w:p>
        </w:tc>
      </w:tr>
      <w:tr>
        <w:tc>
          <w:tcPr>
            <w:tcW w:type="dxa" w:w="338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Calcificação lamelar</w:t>
            </w:r>
          </w:p>
        </w:tc>
        <w:tc>
          <w:tcPr>
            <w:tcW w:type="dxa" w:w="597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Favorece padrão benigno</w:t>
            </w:r>
          </w:p>
        </w:tc>
      </w:tr>
      <w:tr>
        <w:tc>
          <w:tcPr>
            <w:tcW w:type="dxa" w:w="338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Margens espiculadas</w:t>
            </w:r>
          </w:p>
        </w:tc>
        <w:tc>
          <w:tcPr>
            <w:tcW w:type="dxa" w:w="597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Suspeitas de malignidade</w:t>
            </w:r>
          </w:p>
        </w:tc>
      </w:tr>
    </w:tbl>
    <w:p>
      <w:pPr>
        <w:pStyle w:val="BodyText"/>
      </w:pPr>
      <w:r>
        <w:t xml:space="preserve">“Favorece” não significa confirmação universal; “suspeito” não define sozinho a histologia. A interpretação deve manter tamanho, contorno, padrão interno, localização e evolução temporal como dimensões separadas.</w:t>
      </w:r>
    </w:p>
    <w:p>
      <w:pPr>
        <w:pStyle w:val="BodyText"/>
      </w:pPr>
      <w:r>
        <w:t xml:space="preserve">A consulta menciona TC para caracterização e PET-CT para avaliação metabólica e extensão. Não se introduzem limiares de captação, calendários de seguimento nem algoritmos de nódulo não confirmados. A imagem organiza a suspeita e o estadiamento, mas não deve ser apresentada como substituta automática de tecido.</w:t>
      </w:r>
    </w:p>
    <w:bookmarkEnd w:id="54"/>
    <w:bookmarkEnd w:id="55"/>
    <w:bookmarkStart w:id="60" w:name="X7fe9f1b19124736b7d8ea61270275f171fbc64f"/>
    <w:p>
      <w:pPr>
        <w:pStyle w:val="Heading3"/>
        <w:keepNext/>
        <w:keepLines/>
      </w:pPr>
      <w:r>
        <w:t xml:space="preserve">Bloco 3 — decisão, complicações e retenção</w:t>
      </w:r>
    </w:p>
    <w:bookmarkStart w:id="56" w:name="X0a71c3bb68da28a14a66075c5fe4f24c4a1ff3d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MedCallout"/>
        <w:shd w:fill="F4F6F9"/>
        <w:keepLines/>
        <w:pBdr>
          <w:left w:val="single" w:sz="18" w:space="8" w:color="9A6B00"/>
        </w:pBdr>
        <w:spacing w:before="100" w:after="160"/>
        <w:ind w:left="259" w:right="173"/>
      </w:pPr>
      <w:r>
        <w:t xml:space="preserve">O caminho de revisão é</w:t>
      </w:r>
      <w:r>
        <w:t xml:space="preserve"> </w:t>
      </w:r>
      <w:r>
        <w:rPr>
          <w:b/>
          <w:bCs/>
        </w:rPr>
        <w:t xml:space="preserve">caracterizar a lesão → obter diagnóstico quando indicado → estadiar → avaliar condição funcional → definir tratamento</w:t>
      </w:r>
      <w:r>
        <w:t xml:space="preserve">. A escolha de broncoscopia, biópsia guiada por imagem ou avaliação linfonodal depende do alvo e da pergunta clínica.</w:t>
      </w:r>
    </w:p>
    <w:p>
      <w:pPr>
        <w:pStyle w:val="BodyText"/>
      </w:pPr>
      <w:r>
        <w:t xml:space="preserve">O caderno cita broncoscopia e biópsia de lesões centrais, punção de lesões periféricas e métodos de amostragem linfonodal. O que importa para o estudo é não confundir uma biópsia do tumor com o estadiamento completo do mediastino.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215"/>
        <w:gridCol w:w="6145"/>
      </w:tblGrid>
      <w:tr>
        <w:trPr>
          <w:tblHeader w:val="on"/>
        </w:trPr>
        <w:tc>
          <w:tcPr>
            <w:tcW w:type="dxa" w:w="321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Grupo</w:t>
            </w:r>
          </w:p>
        </w:tc>
        <w:tc>
          <w:tcPr>
            <w:tcW w:type="dxa" w:w="614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Eixo terapêutico preservado</w:t>
            </w:r>
          </w:p>
        </w:tc>
      </w:tr>
      <w:tr>
        <w:tc>
          <w:tcPr>
            <w:tcW w:type="dxa" w:w="321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SCLC</w:t>
            </w:r>
          </w:p>
        </w:tc>
        <w:tc>
          <w:tcPr>
            <w:tcW w:type="dxa" w:w="614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Maior resposta a quimio/radioterapia; cirurgia é rara</w:t>
            </w:r>
          </w:p>
        </w:tc>
      </w:tr>
      <w:tr>
        <w:tc>
          <w:tcPr>
            <w:tcW w:type="dxa" w:w="321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NSCLC inicial T1–T2 N0</w:t>
            </w:r>
          </w:p>
        </w:tc>
        <w:tc>
          <w:tcPr>
            <w:tcW w:type="dxa" w:w="614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Cirurgia como tratamento principal, no contexto de avaliação apropriada</w:t>
            </w:r>
          </w:p>
        </w:tc>
      </w:tr>
      <w:tr>
        <w:tc>
          <w:tcPr>
            <w:tcW w:type="dxa" w:w="321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Outros tumores pulmonares</w:t>
            </w:r>
          </w:p>
        </w:tc>
        <w:tc>
          <w:tcPr>
            <w:tcW w:type="dxa" w:w="614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Exigem identificação da entidade; não aplicar automaticamente a mesma lógica dos carcinomas</w:t>
            </w:r>
          </w:p>
        </w:tc>
      </w:tr>
    </w:tbl>
    <w:p>
      <w:pPr>
        <w:pStyle w:val="BodyText"/>
      </w:pPr>
      <w:r>
        <w:t xml:space="preserve">A consulta cita lobectomia e avaliação linfonodal no tratamento do NSCLC inicial. Não se transforma essa descrição em exclusão absoluta de outras ressecções: o material consultado reúne obras de épocas diferentes, e os critérios detalhados não foram auditados neste guia.</w:t>
      </w:r>
    </w:p>
    <w:bookmarkEnd w:id="56"/>
    <w:bookmarkStart w:id="57" w:name="Xb7c65cb2e57fef999181b2dbc6ad00cbdb8e5d0"/>
    <w:p>
      <w:pPr>
        <w:pStyle w:val="Heading4"/>
        <w:keepNext/>
        <w:keepLines/>
      </w:pPr>
      <w:r>
        <w:t xml:space="preserve">Complicações e armadilhas de prova/plantão</w:t>
      </w:r>
    </w:p>
    <w:p>
      <w:pPr>
        <w:pStyle w:val="Compact"/>
        <w:numPr>
          <w:ilvl w:val="0"/>
          <w:numId w:val="1012"/>
        </w:numPr>
      </w:pPr>
      <w:r>
        <w:t xml:space="preserve">Tratar nódulo como sinônimo de câncer confirmado.</w:t>
      </w:r>
    </w:p>
    <w:p>
      <w:pPr>
        <w:pStyle w:val="Compact"/>
        <w:numPr>
          <w:ilvl w:val="0"/>
          <w:numId w:val="1012"/>
        </w:numPr>
      </w:pPr>
      <w:r>
        <w:t xml:space="preserve">Declarar benignidade apenas pela existência de alguma calcificação, ignorando o padrão descrito.</w:t>
      </w:r>
    </w:p>
    <w:p>
      <w:pPr>
        <w:pStyle w:val="Compact"/>
        <w:numPr>
          <w:ilvl w:val="0"/>
          <w:numId w:val="1012"/>
        </w:numPr>
      </w:pPr>
      <w:r>
        <w:t xml:space="preserve">Transformar espículas em confirmação histológica.</w:t>
      </w:r>
    </w:p>
    <w:p>
      <w:pPr>
        <w:pStyle w:val="Compact"/>
        <w:numPr>
          <w:ilvl w:val="0"/>
          <w:numId w:val="1012"/>
        </w:numPr>
      </w:pPr>
      <w:r>
        <w:t xml:space="preserve">Escolher cirurgia apenas por T, sem considerar N, extensão e condição funcional.</w:t>
      </w:r>
    </w:p>
    <w:p>
      <w:pPr>
        <w:pStyle w:val="Compact"/>
        <w:numPr>
          <w:ilvl w:val="0"/>
          <w:numId w:val="1012"/>
        </w:numPr>
      </w:pPr>
      <w:r>
        <w:t xml:space="preserve">Responder que SCLC “nunca” é cirúrgico, quando o levantamento afirma</w:t>
      </w:r>
      <w:r>
        <w:t xml:space="preserve"> </w:t>
      </w:r>
      <w:r>
        <w:rPr>
          <w:b/>
          <w:bCs/>
        </w:rPr>
        <w:t xml:space="preserve">raramente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Misturar metástase pulmonar, outros tumores e carcinoma primário em uma conduta única.</w:t>
      </w:r>
    </w:p>
    <w:p>
      <w:pPr>
        <w:pStyle w:val="Compact"/>
        <w:numPr>
          <w:ilvl w:val="0"/>
          <w:numId w:val="1012"/>
        </w:numPr>
      </w:pPr>
      <w:r>
        <w:t xml:space="preserve">Reproduzir terapias sistêmicas, biomarcadores ou indicações atuais não sustentados pelos trechos selecionados.</w:t>
      </w:r>
    </w:p>
    <w:p>
      <w:pPr>
        <w:pStyle w:val="FirstParagraph"/>
      </w:pPr>
      <w:r>
        <w:t xml:space="preserve">As seções sobre outras malignidades foram mantidas no mapa de fontes, mas o caderno não forneceu, nesta consulta, aprofundamento suficiente para um resumo independente de cada tumor raro. Essa lacuna não foi preenchida com conhecimento externo.</w:t>
      </w:r>
    </w:p>
    <w:bookmarkEnd w:id="57"/>
    <w:bookmarkStart w:id="58" w:name="o-que-lembrar-em-60-segundos-3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rPr>
          <w:b/>
          <w:bCs/>
        </w:rPr>
        <w:t xml:space="preserve">Imagem suspeita não equivale a histologia.</w:t>
      </w:r>
      <w:r>
        <w:t xml:space="preserve"> </w:t>
      </w:r>
      <w:r>
        <w:t xml:space="preserve">Nódulo no levantamento:</w:t>
      </w:r>
      <w:r>
        <w:t xml:space="preserve"> </w:t>
      </w:r>
      <w:r>
        <w:rPr>
          <w:b/>
          <w:bCs/>
        </w:rPr>
        <w:t xml:space="preserve">&lt;3 cm</w:t>
      </w:r>
      <w:r>
        <w:t xml:space="preserve">, sem atelectasia. Calcificação em</w:t>
      </w:r>
      <w:r>
        <w:t xml:space="preserve"> </w:t>
      </w:r>
      <w:r>
        <w:rPr>
          <w:b/>
          <w:bCs/>
        </w:rPr>
        <w:t xml:space="preserve">pipoca, central ou lamelar</w:t>
      </w:r>
      <w:r>
        <w:t xml:space="preserve"> </w:t>
      </w:r>
      <w:r>
        <w:t xml:space="preserve">favorece benignidade;</w:t>
      </w:r>
      <w:r>
        <w:t xml:space="preserve"> </w:t>
      </w:r>
      <w:r>
        <w:rPr>
          <w:b/>
          <w:bCs/>
        </w:rPr>
        <w:t xml:space="preserve">espículas</w:t>
      </w:r>
      <w:r>
        <w:t xml:space="preserve"> </w:t>
      </w:r>
      <w:r>
        <w:t xml:space="preserve">são suspeitas. Separar</w:t>
      </w:r>
      <w:r>
        <w:t xml:space="preserve"> </w:t>
      </w:r>
      <w:r>
        <w:rPr>
          <w:b/>
          <w:bCs/>
        </w:rPr>
        <w:t xml:space="preserve">SCLC</w:t>
      </w:r>
      <w:r>
        <w:t xml:space="preserve"> </w:t>
      </w:r>
      <w:r>
        <w:t xml:space="preserve">de</w:t>
      </w:r>
      <w:r>
        <w:t xml:space="preserve"> </w:t>
      </w:r>
      <w:r>
        <w:rPr>
          <w:b/>
          <w:bCs/>
        </w:rPr>
        <w:t xml:space="preserve">NSCLC</w:t>
      </w:r>
      <w:r>
        <w:t xml:space="preserve">. SCLC: quimio/radioterapia, cirurgia rara. NSCLC inicial</w:t>
      </w:r>
      <w:r>
        <w:t xml:space="preserve"> </w:t>
      </w:r>
      <w:r>
        <w:rPr>
          <w:b/>
          <w:bCs/>
        </w:rPr>
        <w:t xml:space="preserve">T1–T2 N0</w:t>
      </w:r>
      <w:r>
        <w:t xml:space="preserve">: cirurgia como eixo principal. Sempre integrar estadiamento e avaliação funcional.</w:t>
      </w:r>
    </w:p>
    <w:bookmarkEnd w:id="58"/>
    <w:bookmarkStart w:id="59" w:name="fontesseções-do-caderno-usadas-3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Sabiston — 06 — Section 1 — Part F — Lung Cancer:</w:t>
      </w:r>
      <w:r>
        <w:t xml:space="preserve"> </w:t>
      </w:r>
      <w:r>
        <w:t xml:space="preserve">classificação, avaliação e eixo terapêutico.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Sabiston — 07 — Section 1 — Part G — Other Lung Malignancy:</w:t>
      </w:r>
      <w:r>
        <w:t xml:space="preserve"> </w:t>
      </w:r>
      <w:r>
        <w:t xml:space="preserve">outras malignidades, citadas na fundamentação da consulta, sem detalhamento suficiente por entidade.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Shields — Section XV — Carcinoma of The Lung:</w:t>
      </w:r>
      <w:r>
        <w:t xml:space="preserve"> </w:t>
      </w:r>
      <w:r>
        <w:t xml:space="preserve">investigação e tratamento dos carcinomas.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Shields — Section XVI — Other Tumors of the Lung:</w:t>
      </w:r>
      <w:r>
        <w:t xml:space="preserve"> </w:t>
      </w:r>
      <w:r>
        <w:t xml:space="preserve">outras entidades, com a mesma limitação de detalhamento.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Shields — Section III — Thoracic Imaging:</w:t>
      </w:r>
      <w:r>
        <w:t xml:space="preserve"> </w:t>
      </w:r>
      <w:r>
        <w:t xml:space="preserve">nódulo e padrões radiológicos.</w:t>
      </w:r>
    </w:p>
    <w:p>
      <w:r>
        <w:pict>
          <v:rect style="width:0;height:1.5pt" o:hralign="center" o:hrstd="t" o:hr="t"/>
        </w:pict>
      </w:r>
    </w:p>
    <w:bookmarkEnd w:id="59"/>
    <w:bookmarkEnd w:id="60"/>
    <w:bookmarkEnd w:id="61"/>
    <w:bookmarkStart w:id="76" w:name="pneumotórax"/>
    <w:p>
      <w:pPr>
        <w:pStyle w:val="Heading2"/>
        <w:keepNext/>
        <w:keepLines/>
        <w:pageBreakBefore/>
      </w:pPr>
      <w:r>
        <w:t xml:space="preserve">5. Pneumotórax</w:t>
      </w:r>
    </w:p>
    <w:bookmarkStart w:id="65" w:name="X8ba61fb729eaf7048bc150db14927e6cd2ba692"/>
    <w:p>
      <w:pPr>
        <w:pStyle w:val="Heading3"/>
        <w:keepNext/>
        <w:keepLines/>
      </w:pPr>
      <w:r>
        <w:t xml:space="preserve">Bloco 1 — objetivos, conceitos e reconhecimento</w:t>
      </w:r>
    </w:p>
    <w:bookmarkStart w:id="62" w:name="objetivos-de-aprendizagem-4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14"/>
        </w:numPr>
      </w:pPr>
      <w:r>
        <w:t xml:space="preserve">Distinguir pneumotórax de pneumotórax hipertensivo.</w:t>
      </w:r>
    </w:p>
    <w:p>
      <w:pPr>
        <w:pStyle w:val="Compact"/>
        <w:numPr>
          <w:ilvl w:val="0"/>
          <w:numId w:val="1014"/>
        </w:numPr>
      </w:pPr>
      <w:r>
        <w:t xml:space="preserve">Separar origem espontânea, traumática ou relacionada a procedimento da repercussão fisiológica.</w:t>
      </w:r>
    </w:p>
    <w:p>
      <w:pPr>
        <w:pStyle w:val="Compact"/>
        <w:numPr>
          <w:ilvl w:val="0"/>
          <w:numId w:val="1014"/>
        </w:numPr>
      </w:pPr>
      <w:r>
        <w:t xml:space="preserve">Integrar exame clínico, RX e POCUS sem atrasar uma emergência.</w:t>
      </w:r>
    </w:p>
    <w:p>
      <w:pPr>
        <w:pStyle w:val="Compact"/>
        <w:numPr>
          <w:ilvl w:val="0"/>
          <w:numId w:val="1014"/>
        </w:numPr>
      </w:pPr>
      <w:r>
        <w:t xml:space="preserve">Reconhecer as divergências do caderno sobre local de descompressão e manejo conservador.</w:t>
      </w:r>
    </w:p>
    <w:bookmarkEnd w:id="62"/>
    <w:bookmarkStart w:id="63" w:name="conceitos-essenciais-4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Pneumotórax é presença de ar no espaço pleural, com perda do acoplamento entre pulmão e parede torácica e possibilidade de colapso pulmonar. O material distingue o espontâneo primário, sem doença pulmonar conhecida, do secundário, associado a doença pulmonar prévia. Trauma e procedimentos constituem outros contextos.</w:t>
      </w:r>
    </w:p>
    <w:p>
      <w:pPr>
        <w:pStyle w:val="BodyText"/>
      </w:pPr>
      <w:r>
        <w:rPr>
          <w:b/>
          <w:bCs/>
        </w:rPr>
        <w:t xml:space="preserve">Hipertensivo descreve uma repercussão fisiológica</w:t>
      </w:r>
      <w:r>
        <w:t xml:space="preserve">, não somente a presença de muito ar na radiografia. A consulta explica a elevação progressiva da pressão pleural com prejuízo ventilatório e comprometimento do retorno venoso, produzindo choque obstrutivo.</w:t>
      </w:r>
    </w:p>
    <w:p>
      <w:pPr>
        <w:pStyle w:val="BodyText"/>
      </w:pPr>
      <w:r>
        <w:t xml:space="preserve">Essa distinção ordena a decisão: identificar instabilidade antes de discutir tamanho, etiologia ou critérios de observação. O manejo conservador do espontâneo primário não deve ser transferido para pneumotórax hipertensivo.</w:t>
      </w:r>
    </w:p>
    <w:bookmarkEnd w:id="63"/>
    <w:bookmarkStart w:id="64" w:name="reconhecimento-e-avaliação-4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A consulta descreve dor pleurítica súbita e dispneia, com assimetria ventilatória, diminuição do murmúrio e timpanismo. O levantamento destaca, para o hipertensivo,</w:t>
      </w:r>
      <w:r>
        <w:t xml:space="preserve"> </w:t>
      </w:r>
      <w:r>
        <w:rPr>
          <w:b/>
          <w:bCs/>
        </w:rPr>
        <w:t xml:space="preserve">hipotensão, turgência jugular, murmúrio unilateral abolido e timpanismo</w:t>
      </w:r>
      <w:r>
        <w:t xml:space="preserve">.</w:t>
      </w:r>
    </w:p>
    <w:p>
      <w:pPr>
        <w:pStyle w:val="BodyText"/>
      </w:pPr>
      <w:r>
        <w:t xml:space="preserve">No raciocínio de prova, associe o achado pulmonar unilateral à repercussão circulatória. Não classifique hipertensão pleural apenas por um sinal ultrassonográfico, e não exija que um único sinal clínico tenha aparecido para reconhecer deterioração.</w:t>
      </w:r>
    </w:p>
    <w:p>
      <w:pPr>
        <w:pStyle w:val="BodyText"/>
      </w:pPr>
      <w:r>
        <w:t xml:space="preserve">A avaliação deve registrar o contexto: trauma, procedimento recente, doença pulmonar conhecida ou episódio espontâneo. Essa informação evita aplicar um algoritmo a uma população diferente daquela discutida pela fonte.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2035"/>
        <w:gridCol w:w="7325"/>
      </w:tblGrid>
      <w:tr>
        <w:trPr>
          <w:tblHeader w:val="on"/>
        </w:trPr>
        <w:tc>
          <w:tcPr>
            <w:tcW w:type="dxa" w:w="203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Dimensão</w:t>
            </w:r>
          </w:p>
        </w:tc>
        <w:tc>
          <w:tcPr>
            <w:tcW w:type="dxa" w:w="7325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Dado que ela fornece</w:t>
            </w:r>
          </w:p>
        </w:tc>
      </w:tr>
      <w:tr>
        <w:tc>
          <w:tcPr>
            <w:tcW w:type="dxa" w:w="203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Clínica</w:t>
            </w:r>
          </w:p>
        </w:tc>
        <w:tc>
          <w:tcPr>
            <w:tcW w:type="dxa" w:w="732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Sintomas, estabilidade e urgência</w:t>
            </w:r>
          </w:p>
        </w:tc>
      </w:tr>
      <w:tr>
        <w:tc>
          <w:tcPr>
            <w:tcW w:type="dxa" w:w="203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Etiologia</w:t>
            </w:r>
          </w:p>
        </w:tc>
        <w:tc>
          <w:tcPr>
            <w:tcW w:type="dxa" w:w="732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Contexto primário, secundário, traumático ou relacionado a procedimento</w:t>
            </w:r>
          </w:p>
        </w:tc>
      </w:tr>
      <w:tr>
        <w:tc>
          <w:tcPr>
            <w:tcW w:type="dxa" w:w="203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RX/POCUS</w:t>
            </w:r>
          </w:p>
        </w:tc>
        <w:tc>
          <w:tcPr>
            <w:tcW w:type="dxa" w:w="732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Evidência anatômica de ar pleural</w:t>
            </w:r>
          </w:p>
        </w:tc>
      </w:tr>
      <w:tr>
        <w:tc>
          <w:tcPr>
            <w:tcW w:type="dxa" w:w="203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Evolução</w:t>
            </w:r>
          </w:p>
        </w:tc>
        <w:tc>
          <w:tcPr>
            <w:tcW w:type="dxa" w:w="7325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Resposta à abordagem, persistência ou piora</w:t>
            </w:r>
          </w:p>
        </w:tc>
      </w:tr>
    </w:tbl>
    <w:bookmarkEnd w:id="64"/>
    <w:bookmarkEnd w:id="65"/>
    <w:bookmarkStart w:id="68" w:name="X6d80293c84c0cf28f19845633ebff5f25d1a6e9"/>
    <w:p>
      <w:pPr>
        <w:pStyle w:val="Heading3"/>
        <w:keepNext/>
        <w:keepLines/>
      </w:pPr>
      <w:r>
        <w:t xml:space="preserve">Bloco 2 — anatomia aplicada e interpretação radiológica</w:t>
      </w:r>
    </w:p>
    <w:bookmarkStart w:id="66" w:name="anatomia-aplicada-4"/>
    <w:p>
      <w:pPr>
        <w:pStyle w:val="Heading4"/>
        <w:keepNext/>
        <w:keepLines/>
      </w:pPr>
      <w:r>
        <w:t xml:space="preserve">Anatomia aplicada</w:t>
      </w:r>
    </w:p>
    <w:p>
      <w:pPr>
        <w:pStyle w:val="FirstParagraph"/>
      </w:pPr>
      <w:r>
        <w:t xml:space="preserve">A pleura visceral acompanha o pulmão e a parietal reveste o tórax. O ar entre elas altera o equilíbrio mecânico e permite retração pulmonar. O ápice e a pleura cervical projetam-se acima da primeira costela, conexão relevante para trauma e procedimentos cervicais.</w:t>
      </w:r>
    </w:p>
    <w:p>
      <w:pPr>
        <w:pStyle w:val="BodyText"/>
      </w:pPr>
      <w:r>
        <w:t xml:space="preserve">O marco de</w:t>
      </w:r>
      <w:r>
        <w:t xml:space="preserve"> </w:t>
      </w:r>
      <w:r>
        <w:rPr>
          <w:b/>
          <w:bCs/>
        </w:rPr>
        <w:t xml:space="preserve">drenagem tubular</w:t>
      </w:r>
      <w:r>
        <w:t xml:space="preserve"> </w:t>
      </w:r>
      <w:r>
        <w:t xml:space="preserve">mantido do levantamento é o</w:t>
      </w:r>
      <w:r>
        <w:t xml:space="preserve"> </w:t>
      </w:r>
      <w:r>
        <w:rPr>
          <w:b/>
          <w:bCs/>
        </w:rPr>
        <w:t xml:space="preserve">5º espaço intercostal entre as linhas axilar anterior e média, no triângulo de segurança</w:t>
      </w:r>
      <w:r>
        <w:t xml:space="preserve">. O local de descompressão por agulha é apresentado separadamente, pois constitui divergência a revisar.</w:t>
      </w:r>
    </w:p>
    <w:bookmarkEnd w:id="66"/>
    <w:bookmarkStart w:id="67" w:name="interpretação-radiológica-4"/>
    <w:p>
      <w:pPr>
        <w:pStyle w:val="Heading4"/>
        <w:keepNext/>
        <w:keepLines/>
      </w:pPr>
      <w:r>
        <w:t xml:space="preserve">Interpretação radiológica</w:t>
      </w:r>
    </w:p>
    <w:p>
      <w:pPr>
        <w:pStyle w:val="FirstParagraph"/>
      </w:pPr>
      <w:r>
        <w:rPr>
          <w:b/>
          <w:bCs/>
        </w:rPr>
        <w:t xml:space="preserve">RX em ortostase:</w:t>
      </w:r>
      <w:r>
        <w:t xml:space="preserve"> </w:t>
      </w:r>
      <w:r>
        <w:t xml:space="preserve">a consulta de conferência descreve o sinal clássico da linha pleural visceral, com ausência de trama vascular distal. O ar tende a se distribuir de modo diferente do observado no paciente deitado.</w:t>
      </w:r>
    </w:p>
    <w:p>
      <w:pPr>
        <w:pStyle w:val="BodyText"/>
      </w:pPr>
      <w:r>
        <w:rPr>
          <w:b/>
          <w:bCs/>
        </w:rPr>
        <w:t xml:space="preserve">RX supino:</w:t>
      </w:r>
      <w:r>
        <w:t xml:space="preserve"> </w:t>
      </w:r>
      <w:r>
        <w:t xml:space="preserve">a consulta ampliada destaca distribuição anterior/basal e o</w:t>
      </w:r>
      <w:r>
        <w:t xml:space="preserve"> </w:t>
      </w:r>
      <w:r>
        <w:rPr>
          <w:b/>
          <w:bCs/>
        </w:rPr>
        <w:t xml:space="preserve">sinal do sulco profundo</w:t>
      </w:r>
      <w:r>
        <w:t xml:space="preserve">. O levantamento inicial vinculava diretamente a linha pleural ao RX supino; essa formulação não deve ser memorizada como se fosse o único padrão esperado. A posição do paciente é parte da interpretação.</w:t>
      </w:r>
    </w:p>
    <w:p>
      <w:pPr>
        <w:pStyle w:val="BodyText"/>
      </w:pPr>
      <w:r>
        <w:rPr>
          <w:b/>
          <w:bCs/>
        </w:rPr>
        <w:t xml:space="preserve">POCUS:</w:t>
      </w:r>
      <w:r>
        <w:t xml:space="preserve"> </w:t>
      </w:r>
      <w:r>
        <w:t xml:space="preserve">mantenha os sinais separados.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746"/>
        <w:gridCol w:w="5614"/>
      </w:tblGrid>
      <w:tr>
        <w:trPr>
          <w:tblHeader w:val="on"/>
        </w:trPr>
        <w:tc>
          <w:tcPr>
            <w:tcW w:type="dxa" w:w="3746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Sinal</w:t>
            </w:r>
          </w:p>
        </w:tc>
        <w:tc>
          <w:tcPr>
            <w:tcW w:type="dxa" w:w="5614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Interpretação de revisão</w:t>
            </w:r>
          </w:p>
        </w:tc>
      </w:tr>
      <w:tr>
        <w:tc>
          <w:tcPr>
            <w:tcW w:type="dxa" w:w="3746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Ausência de lung sliding</w:t>
            </w:r>
          </w:p>
        </w:tc>
        <w:tc>
          <w:tcPr>
            <w:tcW w:type="dxa" w:w="561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Sugere perda do deslizamento; interpretar no contexto</w:t>
            </w:r>
          </w:p>
        </w:tc>
      </w:tr>
      <w:tr>
        <w:tc>
          <w:tcPr>
            <w:tcW w:type="dxa" w:w="3746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Estratosfera/código de barras</w:t>
            </w:r>
          </w:p>
        </w:tc>
        <w:tc>
          <w:tcPr>
            <w:tcW w:type="dxa" w:w="561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Padrão no modo M associado à ausência de movimento pleural</w:t>
            </w:r>
          </w:p>
        </w:tc>
      </w:tr>
      <w:tr>
        <w:tc>
          <w:tcPr>
            <w:tcW w:type="dxa" w:w="3746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Lung point</w:t>
            </w:r>
          </w:p>
        </w:tc>
        <w:tc>
          <w:tcPr>
            <w:tcW w:type="dxa" w:w="561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Transição entre regiões com e sem deslizamento; sustenta o diagnóstico no material</w:t>
            </w:r>
          </w:p>
        </w:tc>
      </w:tr>
      <w:tr>
        <w:tc>
          <w:tcPr>
            <w:tcW w:type="dxa" w:w="3746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Sliding preservado no ponto examinado</w:t>
            </w:r>
          </w:p>
        </w:tc>
        <w:tc>
          <w:tcPr>
            <w:tcW w:type="dxa" w:w="561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Evidência contra pneumotórax nesse ponto, sem extrapolar para todo o hemitórax</w:t>
            </w:r>
          </w:p>
        </w:tc>
      </w:tr>
    </w:tbl>
    <w:p>
      <w:pPr>
        <w:pStyle w:val="BodyText"/>
      </w:pPr>
      <w:r>
        <w:rPr>
          <w:b/>
          <w:bCs/>
        </w:rPr>
        <w:t xml:space="preserve">Ponto de precisão:</w:t>
      </w:r>
      <w:r>
        <w:t xml:space="preserve"> </w:t>
      </w:r>
      <w:r>
        <w:t xml:space="preserve">não atribuir ao lung point a sensibilidade global do exame ultrassonográfico. A consulta corrigiu essa mistura presente no resumo anterior. Este guia não inclui porcentagens de acurácia, pois é preciso conferir população, técnica e sinal avaliados.</w:t>
      </w:r>
    </w:p>
    <w:bookmarkEnd w:id="67"/>
    <w:bookmarkEnd w:id="68"/>
    <w:bookmarkStart w:id="75" w:name="X1c09e580950d9bf189f4c272d14a0ac8924664f"/>
    <w:p>
      <w:pPr>
        <w:pStyle w:val="Heading3"/>
        <w:keepNext/>
        <w:keepLines/>
      </w:pPr>
      <w:r>
        <w:t xml:space="preserve">Bloco 3 — decisão, complicações e retenção</w:t>
      </w:r>
    </w:p>
    <w:bookmarkStart w:id="69" w:name="X5ac6633a2ce6d21f9c020525ebf4f06d83596e2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FirstParagraph"/>
      </w:pPr>
      <w:r>
        <w:t xml:space="preserve">No pneumotórax hipertensivo, o caderno aponta</w:t>
      </w:r>
      <w:r>
        <w:t xml:space="preserve"> </w:t>
      </w:r>
      <w:r>
        <w:rPr>
          <w:b/>
          <w:bCs/>
        </w:rPr>
        <w:t xml:space="preserve">descompressão de emergência seguida de drenagem pleural</w:t>
      </w:r>
      <w:r>
        <w:t xml:space="preserve">. A urgência decorre do quadro clínico; não se aguarda confirmação radiológica para então reconhecer a necessidade de abordagem.</w:t>
      </w:r>
    </w:p>
    <w:p>
      <w:pPr>
        <w:pStyle w:val="BodyText"/>
      </w:pPr>
      <w:r>
        <w:t xml:space="preserve">Nos demais pneumotórax, sintomas, estabilidade e contexto etiológico orientam a discussão. A consulta cita drenagem para apresentações sintomáticas importantes, mas não se converte isso em uma regra indiferenciada para todo pneumotórax com qualquer sintoma.</w:t>
      </w:r>
    </w:p>
    <w:bookmarkEnd w:id="69"/>
    <w:bookmarkStart w:id="70" w:name="Xabcfea9902431d8aa12109b7f4379fa3d42cf1b"/>
    <w:p>
      <w:pPr>
        <w:pStyle w:val="Heading4"/>
        <w:keepNext/>
        <w:keepLines/>
      </w:pPr>
      <w:r>
        <w:t xml:space="preserve">Divergência a revisar — local da descompressão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4172"/>
        <w:gridCol w:w="5188"/>
      </w:tblGrid>
      <w:tr>
        <w:trPr>
          <w:tblHeader w:val="on"/>
        </w:trPr>
        <w:tc>
          <w:tcPr>
            <w:tcW w:type="dxa" w:w="4172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Posição presente nas respostas do caderno</w:t>
            </w:r>
          </w:p>
        </w:tc>
        <w:tc>
          <w:tcPr>
            <w:tcW w:type="dxa" w:w="5188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Situação da atribuição</w:t>
            </w:r>
          </w:p>
        </w:tc>
      </w:tr>
      <w:tr>
        <w:tc>
          <w:tcPr>
            <w:tcW w:type="dxa" w:w="417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2º espaço intercostal, linha hemiclavicular</w:t>
            </w:r>
          </w:p>
        </w:tc>
        <w:tc>
          <w:tcPr>
            <w:tcW w:type="dxa" w:w="518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Descrito como opção histórica e também reapresentado como opção no ATLS 11</w:t>
            </w:r>
          </w:p>
        </w:tc>
      </w:tr>
      <w:tr>
        <w:tc>
          <w:tcPr>
            <w:tcW w:type="dxa" w:w="417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5º espaço intercostal, linha axilar anterior/média</w:t>
            </w:r>
          </w:p>
        </w:tc>
        <w:tc>
          <w:tcPr>
            <w:tcW w:type="dxa" w:w="518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Apresentado na Medicina de Emergência e nas respostas sobre ATLS</w:t>
            </w:r>
          </w:p>
        </w:tc>
      </w:tr>
    </w:tbl>
    <w:p>
      <w:pPr>
        <w:pStyle w:val="BodyText"/>
      </w:pPr>
      <w:r>
        <w:rPr>
          <w:b/>
          <w:bCs/>
        </w:rPr>
        <w:t xml:space="preserve">Conferência direta no caderno:</w:t>
      </w:r>
      <w:r>
        <w:t xml:space="preserve"> </w:t>
      </w:r>
      <w:r>
        <w:t xml:space="preserve">o trecho original do ATLS 11, em “Pneumothorax Management — Symptomatic Simple and Tension Pneumothorax Management”, apresenta os dois locais e condiciona a escolha a fatores do paciente e ao cenário clínico. Portanto, não sustenta a simplificação de que o ATLS admite exclusivamente o 5º espaço. A auditoria da Medicina de Emergência aponta o 5º espaço no contexto de choque/PCR e outras opções em descrições gerais. Manter a</w:t>
      </w:r>
      <w:r>
        <w:t xml:space="preserve"> </w:t>
      </w:r>
      <w:r>
        <w:rPr>
          <w:b/>
          <w:bCs/>
        </w:rPr>
        <w:t xml:space="preserve">divergência a revisar</w:t>
      </w:r>
      <w:r>
        <w:t xml:space="preserve"> </w:t>
      </w:r>
      <w:r>
        <w:t xml:space="preserve">quanto ao contexto de cada apresentação e distinguir agulha, toracostomia digital e dreno; nenhuma opção foi escolhida por conhecimento externo.</w:t>
      </w:r>
    </w:p>
    <w:bookmarkEnd w:id="70"/>
    <w:bookmarkStart w:id="71" w:name="Xb233eb31170261fc37b4e76d30577ab534b7421"/>
    <w:p>
      <w:pPr>
        <w:pStyle w:val="Heading4"/>
        <w:keepNext/>
        <w:keepLines/>
      </w:pPr>
      <w:r>
        <w:t xml:space="preserve">Divergência a revisar — conservador no espontâneo primário</w:t>
      </w:r>
    </w:p>
    <w:p>
      <w:pPr>
        <w:pStyle w:val="FirstParagraph"/>
      </w:pPr>
      <w:r>
        <w:t xml:space="preserve">O levantamento anterior do caderno contrapõe uma abordagem orientada pelo tamanho, com limiar de</w:t>
      </w:r>
      <w:r>
        <w:t xml:space="preserve"> </w:t>
      </w:r>
      <w:r>
        <w:rPr>
          <w:b/>
          <w:bCs/>
        </w:rPr>
        <w:t xml:space="preserve">2 cm</w:t>
      </w:r>
      <w:r>
        <w:t xml:space="preserve">, à possibilidade de tratamento conservador em pessoas</w:t>
      </w:r>
      <w:r>
        <w:t xml:space="preserve"> </w:t>
      </w:r>
      <w:r>
        <w:rPr>
          <w:b/>
          <w:bCs/>
        </w:rPr>
        <w:t xml:space="preserve">estáveis e minimamente sintomáticas</w:t>
      </w:r>
      <w:r>
        <w:t xml:space="preserve">, descrita na Medicina de Emergência, 18ª edição.</w:t>
      </w:r>
    </w:p>
    <w:p>
      <w:pPr>
        <w:pStyle w:val="BodyText"/>
      </w:pPr>
      <w:r>
        <w:t xml:space="preserve">A auditoria adicional do caderno aponta também observação no Shields Section XII para pneumotórax primário pequeno sem dispneia significativa e para pacientes assintomáticos selecionados mesmo com pneumotórax grande. Isso impede uma oposição simplista entre “livro antigo sempre drena” e “livro recente observa”. O método de medida e a atribuição histórica do limiar de 2 cm precisam ser revistos no trecho original. Não se usa “2 cm” isoladamente como regra universal, nem se entende “conservador” como ausência de acompanhamento. A consulta não foi suficiente para construir um protocolo completo de seleção, alta e seguimento, por isso ele não foi inventado.</w:t>
      </w:r>
    </w:p>
    <w:bookmarkEnd w:id="71"/>
    <w:bookmarkStart w:id="72" w:name="Xc1ea5ebe112647ec327d7e543d8857479c3b402"/>
    <w:p>
      <w:pPr>
        <w:pStyle w:val="Heading4"/>
        <w:keepNext/>
        <w:keepLines/>
      </w:pPr>
      <w:r>
        <w:t xml:space="preserve">Complicações e armadilhas de prova/plantão</w:t>
      </w:r>
    </w:p>
    <w:p>
      <w:pPr>
        <w:pStyle w:val="FirstParagraph"/>
      </w:pPr>
      <w:r>
        <w:t xml:space="preserve">As fontes discutem persistência de ar, problemas do dreno e edema de reexpansão. Reavaliar o paciente após a abordagem é parte do raciocínio: a presença de dreno não prova resolução funcional.</w:t>
      </w:r>
    </w:p>
    <w:p>
      <w:pPr>
        <w:pStyle w:val="BodyText"/>
      </w:pPr>
      <w:r>
        <w:t xml:space="preserve">Armadilhas centrais: esperar RX no hipertensivo; transformar ausência de sliding em confirmação isolada; ignorar a posição no RX; usar o desempenho do exame completo como desempenho do lung point; aplicar manejo conservador do primário ao secundário ou ao instável.</w:t>
      </w:r>
    </w:p>
    <w:bookmarkEnd w:id="72"/>
    <w:bookmarkStart w:id="73" w:name="o-que-lembrar-em-60-segundos-4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rPr>
          <w:b/>
          <w:bCs/>
        </w:rPr>
        <w:t xml:space="preserve">Hipertensivo = emergência clínica com repercussão fisiológica.</w:t>
      </w:r>
      <w:r>
        <w:t xml:space="preserve"> </w:t>
      </w:r>
      <w:r>
        <w:t xml:space="preserve">Descompressão seguida de drenagem. RX: linha pleural sem trama distal; no supino, lembrar</w:t>
      </w:r>
      <w:r>
        <w:t xml:space="preserve"> </w:t>
      </w:r>
      <w:r>
        <w:rPr>
          <w:b/>
          <w:bCs/>
        </w:rPr>
        <w:t xml:space="preserve">sulco profundo</w:t>
      </w:r>
      <w:r>
        <w:t xml:space="preserve"> </w:t>
      </w:r>
      <w:r>
        <w:t xml:space="preserve">e distribuição diferente. POCUS: sliding, estratosfera e lung point têm papéis distintos. Não confundir sensibilidade do exame com a do sinal.</w:t>
      </w:r>
      <w:r>
        <w:t xml:space="preserve"> </w:t>
      </w:r>
      <w:r>
        <w:rPr>
          <w:b/>
          <w:bCs/>
        </w:rPr>
        <w:t xml:space="preserve">Local de descompressão e conservador no primário: divergências a revisar.</w:t>
      </w:r>
    </w:p>
    <w:bookmarkEnd w:id="73"/>
    <w:bookmarkStart w:id="74" w:name="fontesseções-do-caderno-usadas-4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Medicina de Emergência — Abordagem Prática, 18ª edição:</w:t>
      </w:r>
      <w:r>
        <w:t xml:space="preserve"> </w:t>
      </w:r>
      <w:r>
        <w:t xml:space="preserve">POCUS, imagem, descompressão e manejo do espontâneo primário. A auditoria com citações do caderno identifica o capítulo 46, “Pneumotórax não traumático”; essa identificação foi recuperada pela consulta, sem atribuição de páginas.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ATLS Course Manual, 11ª edição — “Pneumothorax Management”, subseção “Symptomatic Simple and Tension Pneumothorax Management”:</w:t>
      </w:r>
      <w:r>
        <w:t xml:space="preserve"> </w:t>
      </w:r>
      <w:r>
        <w:t xml:space="preserve">trecho original de descompressão aberto e conferido no caderno. O capítulo 5 é denominado “Breathing and Ventilation Assessment and Management”, conforme o próprio manual; não “Thoracic Trauma”, como uma resposta automática havia indicado.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Sabiston — 03 — Section 1 — Part C — Trauma; 09 — Section 1 — Part I — Pleura:</w:t>
      </w:r>
      <w:r>
        <w:t xml:space="preserve"> </w:t>
      </w:r>
      <w:r>
        <w:t xml:space="preserve">contexto traumático e pleural, conforme consultas.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Shields — Section XII — The Pleura; Section XVII — Thoracic Trauma; Section III — Thoracic Imaging:</w:t>
      </w:r>
      <w:r>
        <w:t xml:space="preserve"> </w:t>
      </w:r>
      <w:r>
        <w:t xml:space="preserve">doença pleural, trauma e interpretação radiológica.</w:t>
      </w:r>
    </w:p>
    <w:p>
      <w:r>
        <w:pict>
          <v:rect style="width:0;height:1.5pt" o:hralign="center" o:hrstd="t" o:hr="t"/>
        </w:pict>
      </w:r>
    </w:p>
    <w:bookmarkEnd w:id="74"/>
    <w:bookmarkEnd w:id="75"/>
    <w:bookmarkEnd w:id="76"/>
    <w:bookmarkStart w:id="92" w:name="anatomia-e-radiologia-do-pulmão"/>
    <w:p>
      <w:pPr>
        <w:pStyle w:val="Heading2"/>
        <w:keepNext/>
        <w:keepLines/>
        <w:pageBreakBefore/>
      </w:pPr>
      <w:r>
        <w:t xml:space="preserve">6. Anatomia e radiologia do pulmão</w:t>
      </w:r>
    </w:p>
    <w:bookmarkStart w:id="80" w:name="X32bc3cd284db1da7af5687f7076fb393996985a"/>
    <w:p>
      <w:pPr>
        <w:pStyle w:val="Heading3"/>
        <w:keepNext/>
        <w:keepLines/>
      </w:pPr>
      <w:r>
        <w:t xml:space="preserve">Bloco 1 — objetivos, conceitos e reconhecimento</w:t>
      </w:r>
    </w:p>
    <w:bookmarkStart w:id="77" w:name="objetivos-de-aprendizagem-5"/>
    <w:p>
      <w:pPr>
        <w:pStyle w:val="Heading4"/>
        <w:keepNext/>
        <w:keepLines/>
      </w:pPr>
      <w:r>
        <w:t xml:space="preserve">Objetivos de aprendizagem</w:t>
      </w:r>
    </w:p>
    <w:p>
      <w:pPr>
        <w:pStyle w:val="Compact"/>
        <w:numPr>
          <w:ilvl w:val="0"/>
          <w:numId w:val="1016"/>
        </w:numPr>
      </w:pPr>
      <w:r>
        <w:t xml:space="preserve">Reconhecer lobos, fissuras, pleuras e estruturas hilares.</w:t>
      </w:r>
    </w:p>
    <w:p>
      <w:pPr>
        <w:pStyle w:val="Compact"/>
        <w:numPr>
          <w:ilvl w:val="0"/>
          <w:numId w:val="1016"/>
        </w:numPr>
      </w:pPr>
      <w:r>
        <w:t xml:space="preserve">Relacionar anatomia a acessos pleurais, lesões cervicais e sintomas.</w:t>
      </w:r>
    </w:p>
    <w:p>
      <w:pPr>
        <w:pStyle w:val="Compact"/>
        <w:numPr>
          <w:ilvl w:val="0"/>
          <w:numId w:val="1016"/>
        </w:numPr>
      </w:pPr>
      <w:r>
        <w:t xml:space="preserve">Avaliar qualidade e posição do RX antes de interpretar alterações.</w:t>
      </w:r>
    </w:p>
    <w:p>
      <w:pPr>
        <w:pStyle w:val="Compact"/>
        <w:numPr>
          <w:ilvl w:val="0"/>
          <w:numId w:val="1016"/>
        </w:numPr>
      </w:pPr>
      <w:r>
        <w:t xml:space="preserve">Separar descrição radiológica, hipótese diagnóstica e decisão clínica.</w:t>
      </w:r>
    </w:p>
    <w:bookmarkEnd w:id="77"/>
    <w:bookmarkStart w:id="78" w:name="conceitos-essenciais-5"/>
    <w:p>
      <w:pPr>
        <w:pStyle w:val="Heading4"/>
        <w:keepNext/>
        <w:keepLines/>
      </w:pPr>
      <w:r>
        <w:t xml:space="preserve">Conceitos essenciais</w:t>
      </w:r>
    </w:p>
    <w:p>
      <w:pPr>
        <w:pStyle w:val="FirstParagraph"/>
      </w:pPr>
      <w:r>
        <w:t xml:space="preserve">A anatomia fornece a localização; a imagem mostra como estruturas e lesões se apresentam em determinada técnica e posição. Interpretar um exame exige reconhecer o que é estrutura normal, o que é alteração e o que pode resultar da aquisição.</w:t>
      </w:r>
    </w:p>
    <w:p>
      <w:pPr>
        <w:pStyle w:val="BodyText"/>
      </w:pPr>
      <w:r>
        <w:t xml:space="preserve">O pulmão tem divisão lobar e segmentar e relação íntima com a pleura. Hilo e raiz pulmonar reúnem componentes vasculares e brônquicos. A circulação pulmonar e a brônquica têm funções diferentes, distinção apresentada na consulta ampliada sem necessidade de acrescentar pressões ou percentuais.</w:t>
      </w:r>
    </w:p>
    <w:p>
      <w:pPr>
        <w:pStyle w:val="BodyText"/>
      </w:pPr>
      <w:r>
        <w:t xml:space="preserve">A revisão deve conectar compartimento e padrão: líquido ou ar pleural não são a mesma alteração que uma opacidade intraparenquimatosa. Uma sombra no RX precisa ser localizada antes de receber um nome de doença.</w:t>
      </w:r>
    </w:p>
    <w:bookmarkEnd w:id="78"/>
    <w:bookmarkStart w:id="79" w:name="reconhecimento-e-avaliação-5"/>
    <w:p>
      <w:pPr>
        <w:pStyle w:val="Heading4"/>
        <w:keepNext/>
        <w:keepLines/>
      </w:pPr>
      <w:r>
        <w:t xml:space="preserve">Reconhecimento e avaliação</w:t>
      </w:r>
    </w:p>
    <w:p>
      <w:pPr>
        <w:pStyle w:val="FirstParagraph"/>
      </w:pPr>
      <w:r>
        <w:t xml:space="preserve">Comece identificando modalidade, incidência e posição: radiografia em pé ou no leito, TC ou ultrassom. Em seguida, avalie a qualidade. O levantamento fornece como referência de inspiração adequada a visualização até a</w:t>
      </w:r>
      <w:r>
        <w:t xml:space="preserve"> </w:t>
      </w:r>
      <w:r>
        <w:rPr>
          <w:b/>
          <w:bCs/>
        </w:rPr>
        <w:t xml:space="preserve">10ª costela posterior</w:t>
      </w:r>
      <w:r>
        <w:t xml:space="preserve">.</w:t>
      </w:r>
    </w:p>
    <w:p>
      <w:pPr>
        <w:pStyle w:val="BodyText"/>
      </w:pPr>
      <w:r>
        <w:t xml:space="preserve">A consulta ampliada acrescenta observação de rotação e penetração. Esses elementos ajudam a evitar que técnica inadequada seja interpretada como doença. Não se deve atribuir o mesmo significado a uma assimetria em exames obtidos em condições distintas sem considerar a aquisição.</w:t>
      </w:r>
    </w:p>
    <w:p>
      <w:pPr>
        <w:pStyle w:val="BodyText"/>
      </w:pPr>
      <w:r>
        <w:t xml:space="preserve">Um roteiro de leitura útil ao material é: parede e partes moles; pleuras; parênquima; hilos e mediastino; diafragma e seios costofrênicos. Trata-se de organização didática do conteúdo, sem reivindicar um protocolo exclusivo de alguma obra.</w:t>
      </w:r>
    </w:p>
    <w:bookmarkEnd w:id="79"/>
    <w:bookmarkEnd w:id="80"/>
    <w:bookmarkStart w:id="85" w:name="bloco-2-anatomia-aplicada"/>
    <w:p>
      <w:pPr>
        <w:pStyle w:val="Heading3"/>
        <w:keepNext/>
        <w:keepLines/>
      </w:pPr>
      <w:r>
        <w:t xml:space="preserve">Bloco 2 — anatomia aplicada</w:t>
      </w:r>
    </w:p>
    <w:bookmarkStart w:id="81" w:name="lobos-e-fissuras"/>
    <w:p>
      <w:pPr>
        <w:pStyle w:val="Heading4"/>
        <w:keepNext/>
        <w:keepLines/>
      </w:pPr>
      <w:r>
        <w:t xml:space="preserve">Lobos e fissuras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2298"/>
        <w:gridCol w:w="3458"/>
        <w:gridCol w:w="3604"/>
      </w:tblGrid>
      <w:tr>
        <w:trPr>
          <w:tblHeader w:val="on"/>
        </w:trPr>
        <w:tc>
          <w:tcPr>
            <w:tcW w:type="dxa" w:w="2298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Estrutura</w:t>
            </w:r>
          </w:p>
        </w:tc>
        <w:tc>
          <w:tcPr>
            <w:tcW w:type="dxa" w:w="3458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Pulmão direito</w:t>
            </w:r>
          </w:p>
        </w:tc>
        <w:tc>
          <w:tcPr>
            <w:tcW w:type="dxa" w:w="3604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Pulmão esquerdo</w:t>
            </w:r>
          </w:p>
        </w:tc>
      </w:tr>
      <w:tr>
        <w:tc>
          <w:tcPr>
            <w:tcW w:type="dxa" w:w="229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Lobos</w:t>
            </w:r>
          </w:p>
        </w:tc>
        <w:tc>
          <w:tcPr>
            <w:tcW w:type="dxa" w:w="34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3: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superior, médio e inferior</w:t>
            </w:r>
          </w:p>
        </w:tc>
        <w:tc>
          <w:tcPr>
            <w:tcW w:type="dxa" w:w="36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2: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superior e inferior</w:t>
            </w:r>
          </w:p>
        </w:tc>
      </w:tr>
      <w:tr>
        <w:tc>
          <w:tcPr>
            <w:tcW w:type="dxa" w:w="229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Fissuras</w:t>
            </w:r>
          </w:p>
        </w:tc>
        <w:tc>
          <w:tcPr>
            <w:tcW w:type="dxa" w:w="34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2: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horizontal e oblíqua</w:t>
            </w:r>
          </w:p>
        </w:tc>
        <w:tc>
          <w:tcPr>
            <w:tcW w:type="dxa" w:w="36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bCs/>
                <w:color w:val="0B2545"/>
                <w:sz w:val="18"/>
              </w:rPr>
              <w:t xml:space="preserve">1: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oblíqua</w:t>
            </w:r>
          </w:p>
        </w:tc>
      </w:tr>
      <w:tr>
        <w:tc>
          <w:tcPr>
            <w:tcW w:type="dxa" w:w="229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Particularidade</w:t>
            </w:r>
          </w:p>
        </w:tc>
        <w:tc>
          <w:tcPr>
            <w:tcW w:type="dxa" w:w="3458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Lobo médio</w:t>
            </w:r>
          </w:p>
        </w:tc>
        <w:tc>
          <w:tcPr>
            <w:tcW w:type="dxa" w:w="3604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Língula integra o lobo superior</w:t>
            </w:r>
          </w:p>
        </w:tc>
      </w:tr>
    </w:tbl>
    <w:p>
      <w:pPr>
        <w:pStyle w:val="BodyText"/>
      </w:pPr>
      <w:r>
        <w:t xml:space="preserve">A língula não deve ser contada como um terceiro lobo esquerdo. As fissuras delimitam lobos, mas sua visualização depende da incidência e da modalidade. Conhecer o mapa anatômico ajuda a localizar uma lesão, sem presumir que toda fissura será evidente em qualquer RX.</w:t>
      </w:r>
    </w:p>
    <w:bookmarkEnd w:id="81"/>
    <w:bookmarkStart w:id="82" w:name="ápice-e-pleura-cervical"/>
    <w:p>
      <w:pPr>
        <w:pStyle w:val="Heading4"/>
        <w:keepNext/>
        <w:keepLines/>
      </w:pPr>
      <w:r>
        <w:t xml:space="preserve">Ápice e pleura cervical</w:t>
      </w:r>
    </w:p>
    <w:p>
      <w:pPr>
        <w:pStyle w:val="FirstParagraph"/>
      </w:pPr>
      <w:r>
        <w:t xml:space="preserve">O levantamento de Moore situa ápice e pleura cervical</w:t>
      </w:r>
      <w:r>
        <w:t xml:space="preserve"> </w:t>
      </w:r>
      <w:r>
        <w:rPr>
          <w:b/>
          <w:bCs/>
        </w:rPr>
        <w:t xml:space="preserve">acima da primeira costela</w:t>
      </w:r>
      <w:r>
        <w:t xml:space="preserve">. Essa relação explica por que uma lesão na base do pescoço pode comprometer o compartimento pleuropulmonar. É também uma conexão entre anatomia, trauma e procedimentos cervicais.</w:t>
      </w:r>
    </w:p>
    <w:bookmarkEnd w:id="82"/>
    <w:bookmarkStart w:id="83" w:name="hilo-correção-do-levantamento"/>
    <w:p>
      <w:pPr>
        <w:pStyle w:val="Heading4"/>
        <w:keepNext/>
        <w:keepLines/>
      </w:pPr>
      <w:r>
        <w:t xml:space="preserve">Hilo — correção do levantamento</w:t>
      </w:r>
    </w:p>
    <w:p>
      <w:pPr>
        <w:pStyle w:val="FirstParagraph"/>
      </w:pPr>
      <w:r>
        <w:t xml:space="preserve">O resumo original descrevia “veia pulmonar inferior, artéria pulmonar e brônquio” de anterior para posterior. A consulta dirigida ao caderno corrigiu a designação da veia: o componente venoso anterior corresponde especialmente à</w:t>
      </w:r>
      <w:r>
        <w:t xml:space="preserve"> </w:t>
      </w:r>
      <w:r>
        <w:rPr>
          <w:b/>
          <w:bCs/>
        </w:rPr>
        <w:t xml:space="preserve">veia pulmonar superior</w:t>
      </w:r>
      <w:r>
        <w:t xml:space="preserve">, enquanto a inferior ocupa posição inferior na raiz.</w:t>
      </w:r>
    </w:p>
    <w:p>
      <w:pPr>
        <w:pStyle w:val="MedCallout"/>
        <w:shd w:fill="F4F6F9"/>
        <w:keepLines/>
        <w:pBdr>
          <w:left w:val="single" w:sz="18" w:space="8" w:color="9A6B00"/>
        </w:pBdr>
        <w:spacing w:before="100" w:after="160"/>
        <w:ind w:left="259" w:right="173"/>
      </w:pPr>
      <w:r>
        <w:t xml:space="preserve">Para estudar, preserve a organização geral</w:t>
      </w:r>
      <w:r>
        <w:t xml:space="preserve"> </w:t>
      </w:r>
      <w:r>
        <w:rPr>
          <w:b/>
          <w:bCs/>
        </w:rPr>
        <w:t xml:space="preserve">componente venoso anterior → artéria → brônquio posterior</w:t>
      </w:r>
      <w:r>
        <w:t xml:space="preserve">, lembrando que a disposição tridimensional e superior/inferior difere entre os lados. Não use essa sequência como substituta de uma figura anatômica lateralizada.</w:t>
      </w:r>
    </w:p>
    <w:p>
      <w:pPr>
        <w:pStyle w:val="BodyText"/>
      </w:pPr>
      <w:r>
        <w:rPr>
          <w:b/>
          <w:bCs/>
        </w:rPr>
        <w:t xml:space="preserve">Ponto a conferir no original:</w:t>
      </w:r>
      <w:r>
        <w:t xml:space="preserve"> </w:t>
      </w:r>
      <w:r>
        <w:t xml:space="preserve">a correção foi recuperada por consulta ao NotebookLM; para memorização anatômica fina, conferir a figura e a descrição em Sabiston Part A, Shields Section II e Moore. Não repetir a redação inicial como se estivesse confirmada.</w:t>
      </w:r>
    </w:p>
    <w:bookmarkEnd w:id="83"/>
    <w:bookmarkStart w:id="84" w:name="X0f49943e8f8565df7e8c05d434e62df2e3e18d0"/>
    <w:p>
      <w:pPr>
        <w:pStyle w:val="Heading4"/>
        <w:keepNext/>
        <w:keepLines/>
      </w:pPr>
      <w:r>
        <w:t xml:space="preserve">Parede e pleura aplicadas a procedimentos</w:t>
      </w:r>
    </w:p>
    <w:p>
      <w:pPr>
        <w:pStyle w:val="FirstParagraph"/>
      </w:pPr>
      <w:r>
        <w:t xml:space="preserve">O feixe intercostal relaciona-se à borda inferior da costela; a pleura parietal relaciona-se à parede e ao diafragma. O marco de dreno no levantamento é o</w:t>
      </w:r>
      <w:r>
        <w:t xml:space="preserve"> </w:t>
      </w:r>
      <w:r>
        <w:rPr>
          <w:b/>
          <w:bCs/>
        </w:rPr>
        <w:t xml:space="preserve">5º espaço intercostal entre as linhas axilar anterior e média</w:t>
      </w:r>
      <w:r>
        <w:t xml:space="preserve">, dentro do triângulo de segurança.</w:t>
      </w:r>
    </w:p>
    <w:p>
      <w:pPr>
        <w:pStyle w:val="BodyText"/>
      </w:pPr>
      <w:r>
        <w:t xml:space="preserve">A utilidade do marco é orientar anatomia de superfície. Ele não dispensa localizar uma coleção nem resolve a divergência sobre o sítio de descompressão por agulha. Anatomia de acesso, indicação e técnica são componentes distintos da decisão.</w:t>
      </w:r>
    </w:p>
    <w:bookmarkEnd w:id="84"/>
    <w:bookmarkEnd w:id="85"/>
    <w:bookmarkStart w:id="91" w:name="bloco-3-imagem-decisão-e-retenção"/>
    <w:p>
      <w:pPr>
        <w:pStyle w:val="Heading3"/>
        <w:keepNext/>
        <w:keepLines/>
      </w:pPr>
      <w:r>
        <w:t xml:space="preserve">Bloco 3 — imagem, decisão e retenção</w:t>
      </w:r>
    </w:p>
    <w:bookmarkStart w:id="86" w:name="interpretação-radiológica-5"/>
    <w:p>
      <w:pPr>
        <w:pStyle w:val="Heading4"/>
        <w:keepNext/>
        <w:keepLines/>
      </w:pPr>
      <w:r>
        <w:t xml:space="preserve">Interpretação radiológica</w:t>
      </w:r>
    </w:p>
    <w:tbl>
      <w:tblPr>
        <w:tblStyle w:val="Table"/>
        <w:tblW w:type="dxa" w:w="9360"/>
        <w:jc w:val="left"/>
        <w:tblLayout w:type="fixed"/>
        <w:tblLook w:firstRow="1" w:lastRow="0" w:firstColumn="0" w:lastColumn="0" w:noHBand="0" w:noVBand="0" w:val="0020"/>
        <w:tblInd w:type="dxa" w:w="120"/>
        <w:tblCellMar>
          <w:top w:type="dxa" w:w="80"/>
          <w:bottom w:type="dxa" w:w="80"/>
          <w:start w:type="dxa" w:w="120"/>
          <w:end w:type="dxa" w:w="120"/>
        </w:tblCellMar>
        <w:tblBorders>
          <w:top w:val="single" w:sz="4" w:color="C8D3DE"/>
          <w:left w:val="single" w:sz="4" w:color="C8D3DE"/>
          <w:bottom w:val="single" w:sz="4" w:color="C8D3DE"/>
          <w:right w:val="single" w:sz="4" w:color="C8D3DE"/>
          <w:insideH w:val="single" w:sz="4" w:color="C8D3DE"/>
          <w:insideV w:val="single" w:sz="4" w:color="C8D3DE"/>
        </w:tblBorders>
      </w:tblPr>
      <w:tblGrid>
        <w:gridCol w:w="3202"/>
        <w:gridCol w:w="3037"/>
        <w:gridCol w:w="3121"/>
      </w:tblGrid>
      <w:tr>
        <w:trPr>
          <w:tblHeader w:val="on"/>
        </w:trPr>
        <w:tc>
          <w:tcPr>
            <w:tcW w:type="dxa" w:w="3202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Padrão</w:t>
            </w:r>
          </w:p>
        </w:tc>
        <w:tc>
          <w:tcPr>
            <w:tcW w:type="dxa" w:w="3037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Leitura essencial</w:t>
            </w:r>
          </w:p>
        </w:tc>
        <w:tc>
          <w:tcPr>
            <w:tcW w:type="dxa" w:w="3121"/>
            <w:vAlign w:val="center"/>
            <w:shd w:fill="E8EEF5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/>
                <w:color w:val="0B2545"/>
                <w:sz w:val="18"/>
              </w:rPr>
              <w:t xml:space="preserve">Armadilha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Menisco pleural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Favorece líquido pleural no contexto adequado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Esperar a mesma forma no paciente supino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Linha pleural sem trama distal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Sinal clássico de pneumotórax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Ignorar incidência e posição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Sulco profundo no supino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Padrão descrito na revisão de pneumotórax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Procurar somente ar apical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Nódulo com calcificação em pipoca/central/lamelar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Favorece benignidade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Equiparar qualquer calcificação a benignidade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Espículas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Aumentam suspeita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Considerar histologia definida</w:t>
            </w:r>
          </w:p>
        </w:tc>
      </w:tr>
      <w:tr>
        <w:tc>
          <w:tcPr>
            <w:tcW w:type="dxa" w:w="3202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Opacidades após trauma</w:t>
            </w:r>
          </w:p>
        </w:tc>
        <w:tc>
          <w:tcPr>
            <w:tcW w:type="dxa" w:w="3037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Relacionar a contusão e evolução</w:t>
            </w:r>
          </w:p>
        </w:tc>
        <w:tc>
          <w:tcPr>
            <w:tcW w:type="dxa" w:w="3121"/>
            <w:vAlign w:val="center"/>
          </w:tcPr>
          <w:p>
            <w:pPr>
              <w:pStyle w:val="Compact"/>
              <w:spacing w:before="0" w:after="60" w:line="259" w:lineRule="auto"/>
            </w:pPr>
            <w:r>
              <w:rPr>
                <w:rFonts w:ascii="Calibri" w:hAnsi="Calibri" w:eastAsia="Calibri" w:cs="Calibri"/>
                <w:b w:val="0"/>
                <w:color w:val="0B2545"/>
                <w:sz w:val="18"/>
              </w:rPr>
              <w:t xml:space="preserve">Interpretar uma imagem isolada fora do contexto</w:t>
            </w:r>
          </w:p>
        </w:tc>
      </w:tr>
    </w:tbl>
    <w:p>
      <w:pPr>
        <w:pStyle w:val="BodyText"/>
      </w:pPr>
      <w:r>
        <w:t xml:space="preserve">Na TC, a consulta distingue</w:t>
      </w:r>
      <w:r>
        <w:t xml:space="preserve"> </w:t>
      </w:r>
      <w:r>
        <w:rPr>
          <w:b/>
          <w:bCs/>
        </w:rPr>
        <w:t xml:space="preserve">vidro fosco</w:t>
      </w:r>
      <w:r>
        <w:t xml:space="preserve">, com preservação das margens vasculares subjacentes, de</w:t>
      </w:r>
      <w:r>
        <w:t xml:space="preserve"> </w:t>
      </w:r>
      <w:r>
        <w:rPr>
          <w:b/>
          <w:bCs/>
        </w:rPr>
        <w:t xml:space="preserve">consolidação</w:t>
      </w:r>
      <w:r>
        <w:t xml:space="preserve">, que as obscurece. São padrões descritivos; não determinam sozinhos a causa. O estudo ganha precisão quando a descrição é feita antes da hipótese etiológica.</w:t>
      </w:r>
    </w:p>
    <w:p>
      <w:pPr>
        <w:pStyle w:val="BodyText"/>
      </w:pPr>
      <w:r>
        <w:t xml:space="preserve">No ultrassom, o deslizamento pleural e os artefatos são interpretados no ponto examinado. Ausência de sliding e estratosfera sugerem pneumotórax no contexto apropriado; lung point identifica transição. A consulta também descreve linhas B como artefatos verticais, mas o guia não adota um número de linhas como diagnóstico universal de edema.</w:t>
      </w:r>
    </w:p>
    <w:bookmarkEnd w:id="86"/>
    <w:bookmarkStart w:id="87" w:name="X9536d32225edddb46b0a9c4bca2cb5cb48ec320"/>
    <w:p>
      <w:pPr>
        <w:pStyle w:val="Heading4"/>
        <w:keepNext/>
        <w:keepLines/>
      </w:pPr>
      <w:r>
        <w:t xml:space="preserve">Decisão/conduta inicial conforme o material</w:t>
      </w:r>
    </w:p>
    <w:p>
      <w:pPr>
        <w:pStyle w:val="FirstParagraph"/>
      </w:pPr>
      <w:r>
        <w:t xml:space="preserve">A imagem deve responder a uma pergunta clínica: existe ar, líquido, opacidade ou lesão focal; onde está; há dado que modifique a abordagem? O ultrassom aparece no caderno como recurso à beira do leito e de planejamento de punção; a TC, como método de caracterização mais detalhada e avaliação de extensão.</w:t>
      </w:r>
    </w:p>
    <w:p>
      <w:pPr>
        <w:pStyle w:val="BodyText"/>
      </w:pPr>
      <w:r>
        <w:t xml:space="preserve">No paciente instável com suspeita de pneumotórax hipertensivo, a urgência clínica continua tendo prioridade. Em uma lesão focal suspeita, a imagem orienta investigação e estadiamento. No derrame, a imagem localiza líquido, enquanto a análise laboratorial o classifica.</w:t>
      </w:r>
    </w:p>
    <w:p>
      <w:pPr>
        <w:pStyle w:val="BodyText"/>
      </w:pPr>
      <w:r>
        <w:t xml:space="preserve">Essa separação evita três erros: tratar uma imagem como diagnóstico etiológico completo, pedir um exame sem definir sua finalidade e adiar uma decisão urgente à espera de uma confirmação que não deve ser requisito no cenário descrito.</w:t>
      </w:r>
    </w:p>
    <w:bookmarkEnd w:id="87"/>
    <w:bookmarkStart w:id="88" w:name="Xbf5a7c70591ebeaf8eee16fa020e9f3ee14b779"/>
    <w:p>
      <w:pPr>
        <w:pStyle w:val="Heading4"/>
        <w:keepNext/>
        <w:keepLines/>
      </w:pPr>
      <w:r>
        <w:t xml:space="preserve">Complicações e armadilhas de prova/plantão</w:t>
      </w:r>
    </w:p>
    <w:p>
      <w:pPr>
        <w:pStyle w:val="Compact"/>
        <w:numPr>
          <w:ilvl w:val="0"/>
          <w:numId w:val="1017"/>
        </w:numPr>
      </w:pPr>
      <w:r>
        <w:t xml:space="preserve">Contar a língula como lobo independente.</w:t>
      </w:r>
    </w:p>
    <w:p>
      <w:pPr>
        <w:pStyle w:val="Compact"/>
        <w:numPr>
          <w:ilvl w:val="0"/>
          <w:numId w:val="1017"/>
        </w:numPr>
      </w:pPr>
      <w:r>
        <w:t xml:space="preserve">Esquecer que pleura cervical e ápice ultrapassam a primeira costela.</w:t>
      </w:r>
    </w:p>
    <w:p>
      <w:pPr>
        <w:pStyle w:val="Compact"/>
        <w:numPr>
          <w:ilvl w:val="0"/>
          <w:numId w:val="1017"/>
        </w:numPr>
      </w:pPr>
      <w:r>
        <w:t xml:space="preserve">Memorizar a veia pulmonar inferior como estrutura anterior do hilo sem revisar a correção.</w:t>
      </w:r>
    </w:p>
    <w:p>
      <w:pPr>
        <w:pStyle w:val="Compact"/>
        <w:numPr>
          <w:ilvl w:val="0"/>
          <w:numId w:val="1017"/>
        </w:numPr>
      </w:pPr>
      <w:r>
        <w:t xml:space="preserve">Ignorar rotação, inspiração e posição no RX.</w:t>
      </w:r>
    </w:p>
    <w:p>
      <w:pPr>
        <w:pStyle w:val="Compact"/>
        <w:numPr>
          <w:ilvl w:val="0"/>
          <w:numId w:val="1017"/>
        </w:numPr>
      </w:pPr>
      <w:r>
        <w:t xml:space="preserve">Generalizar um achado ultrassonográfico local para todo o pulmão.</w:t>
      </w:r>
    </w:p>
    <w:p>
      <w:pPr>
        <w:pStyle w:val="Compact"/>
        <w:numPr>
          <w:ilvl w:val="0"/>
          <w:numId w:val="1017"/>
        </w:numPr>
      </w:pPr>
      <w:r>
        <w:t xml:space="preserve">Confundir laboratório pleural com interpretação radiológica.</w:t>
      </w:r>
    </w:p>
    <w:p>
      <w:pPr>
        <w:pStyle w:val="Compact"/>
        <w:numPr>
          <w:ilvl w:val="0"/>
          <w:numId w:val="1017"/>
        </w:numPr>
      </w:pPr>
      <w:r>
        <w:t xml:space="preserve">Usar o marco de dreno como resposta automática para qualquer punção pleural.</w:t>
      </w:r>
    </w:p>
    <w:bookmarkEnd w:id="88"/>
    <w:bookmarkStart w:id="89" w:name="o-que-lembrar-em-60-segundos-5"/>
    <w:p>
      <w:pPr>
        <w:pStyle w:val="Heading4"/>
        <w:keepNext/>
        <w:keepLines/>
      </w:pPr>
      <w:r>
        <w:t xml:space="preserve">O que lembrar em 60 segundos</w:t>
      </w:r>
    </w:p>
    <w:p>
      <w:pPr>
        <w:pStyle w:val="MedCallout"/>
        <w:shd w:fill="EAF3F8"/>
        <w:keepLines/>
        <w:pBdr>
          <w:left w:val="single" w:sz="18" w:space="8" w:color="2E74B5"/>
        </w:pBdr>
        <w:spacing w:before="100" w:after="160"/>
        <w:ind w:left="259" w:right="173"/>
      </w:pPr>
      <w:r>
        <w:t xml:space="preserve">Direito:</w:t>
      </w:r>
      <w:r>
        <w:t xml:space="preserve"> </w:t>
      </w:r>
      <w:r>
        <w:rPr>
          <w:b/>
          <w:bCs/>
        </w:rPr>
        <w:t xml:space="preserve">3 lobos/2 fissuras</w:t>
      </w:r>
      <w:r>
        <w:t xml:space="preserve">. Esquerdo:</w:t>
      </w:r>
      <w:r>
        <w:t xml:space="preserve"> </w:t>
      </w:r>
      <w:r>
        <w:rPr>
          <w:b/>
          <w:bCs/>
        </w:rPr>
        <w:t xml:space="preserve">2 lobos/1 fissura</w:t>
      </w:r>
      <w:r>
        <w:t xml:space="preserve">, com língula no superior. Ápice e pleura cervical acima da</w:t>
      </w:r>
      <w:r>
        <w:t xml:space="preserve"> </w:t>
      </w:r>
      <w:r>
        <w:rPr>
          <w:b/>
          <w:bCs/>
        </w:rPr>
        <w:t xml:space="preserve">1ª costela</w:t>
      </w:r>
      <w:r>
        <w:t xml:space="preserve">. Inspiração no RX: referência da</w:t>
      </w:r>
      <w:r>
        <w:t xml:space="preserve"> </w:t>
      </w:r>
      <w:r>
        <w:rPr>
          <w:b/>
          <w:bCs/>
        </w:rPr>
        <w:t xml:space="preserve">10ª costela posterior</w:t>
      </w:r>
      <w:r>
        <w:t xml:space="preserve">. Hilo: rever a designação da veia; não repetir “inferior anterior”. Menisco = líquido; linha pleural sem trama distal = pneumotórax; no supino, lembrar sulco profundo. Imagem, anatomia, laboratório e decisão têm funções diferentes.</w:t>
      </w:r>
    </w:p>
    <w:bookmarkEnd w:id="89"/>
    <w:bookmarkStart w:id="90" w:name="fontesseções-do-caderno-usadas-5"/>
    <w:p>
      <w:pPr>
        <w:pStyle w:val="Heading4"/>
        <w:keepNext/>
        <w:keepLines/>
      </w:pPr>
      <w:r>
        <w:t xml:space="preserve">Fontes/seções do caderno usadas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Moore — Clinically Oriented Anatomy:</w:t>
      </w:r>
      <w:r>
        <w:t xml:space="preserve"> </w:t>
      </w:r>
      <w:r>
        <w:t xml:space="preserve">lobos, fissuras, pleuras e relações torácicas; edição do arquivo do caderno: 8ª.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Shields — Section II — Structure and Function of The Chest Wall and Lungs:</w:t>
      </w:r>
      <w:r>
        <w:t xml:space="preserve"> </w:t>
      </w:r>
      <w:r>
        <w:t xml:space="preserve">estrutura pulmonar e parede.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Shields — Section III — Thoracic Imaging:</w:t>
      </w:r>
      <w:r>
        <w:t xml:space="preserve"> </w:t>
      </w:r>
      <w:r>
        <w:t xml:space="preserve">qualidade do RX e padrões de imagem.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Sabiston — 01 — Section 1 — Part A — Evaluation and Care:</w:t>
      </w:r>
      <w:r>
        <w:t xml:space="preserve"> </w:t>
      </w:r>
      <w:r>
        <w:t xml:space="preserve">avaliação e anatomia hilar discutidas na consulta.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Medicina de Emergência — Abordagem Prática, 18ª edição:</w:t>
      </w:r>
      <w:r>
        <w:t xml:space="preserve"> </w:t>
      </w:r>
      <w:r>
        <w:t xml:space="preserve">interpretação pleural e POCUS; capítulo exato não confirmado diretamente.</w:t>
      </w:r>
    </w:p>
    <w:p>
      <w:r>
        <w:pict>
          <v:rect style="width:0;height:1.5pt" o:hralign="center" o:hrstd="t" o:hr="t"/>
        </w:pict>
      </w:r>
    </w:p>
    <w:bookmarkEnd w:id="90"/>
    <w:bookmarkEnd w:id="91"/>
    <w:bookmarkEnd w:id="92"/>
    <w:bookmarkStart w:id="93" w:name="revisão-programada-do-conjunto"/>
    <w:p>
      <w:pPr>
        <w:pStyle w:val="Heading2"/>
        <w:keepNext/>
        <w:keepLines/>
        <w:pageBreakBefore/>
      </w:pPr>
      <w:r>
        <w:t xml:space="preserve">Revisão programada do conjunto</w:t>
      </w:r>
    </w:p>
    <w:p>
      <w:pPr>
        <w:pStyle w:val="FirstParagraph"/>
      </w:pPr>
      <w:r>
        <w:t xml:space="preserve">O levantamento sugere revisitar o material em</w:t>
      </w:r>
      <w:r>
        <w:t xml:space="preserve"> </w:t>
      </w:r>
      <w:r>
        <w:rPr>
          <w:b/>
          <w:bCs/>
        </w:rPr>
        <w:t xml:space="preserve">24 horas, 7 dias e 30 dias</w:t>
      </w:r>
      <w:r>
        <w:t xml:space="preserve">. Na primeira revisão, concentrar-se nos quadros de 60 segundos e na diferença entre reconhecimento e conduta. Na segunda, rever números, unidades e seus contextos. Na terceira, integrar anatomia e imagem aos seis temas.</w:t>
      </w:r>
    </w:p>
    <w:p>
      <w:pPr>
        <w:pStyle w:val="BodyText"/>
      </w:pPr>
      <w:r>
        <w:t xml:space="preserve">Antes de transformar o guia em questões, conferir no original os pontos registrados: local de descompressão, critérios completos de manejo conservador, disposição hilar, limite de tamanho do nódulo e métricas de desempenho do POCUS. As divergências permanecem visíveis para não converter incertezas do levantamento em gabaritos.</w:t>
      </w:r>
    </w:p>
    <w:bookmarkEnd w:id="93"/>
    <w:bookmarkEnd w:id="94"/>
    <w:sectPr>
      <w:headerReference w:type="first" r:id="rId10"/>
      <w:footerReference w:type="first" r:id="rId11"/>
      <w:headerReference w:type="default" r:id="rId12"/>
      <w:footerReference w:type="default" r:id="rId13"/>
      <w:footnotePr>
        <w:numRestart w:val="eachSect"/>
      </w:footnotePr>
      <w:pgSz w:w="12240" w:h="15840"/>
      <w:pgMar w:top="1440" w:right="1440" w:bottom="1440" w:left="1440" w:header="708" w:footer="708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80"/>
    </w:pPr>
    <w:r/>
    <w:r>
      <w:rPr>
        <w:rFonts w:ascii="Calibri" w:hAnsi="Calibri" w:eastAsia="Calibri" w:cs="Calibri"/>
        <w:color w:val="5D6874"/>
        <w:sz w:val="17"/>
      </w:rPr>
      <w:t>Caderno Zen On • Medicina</w:t>
    </w:r>
    <w:r>
      <w:tab/>
    </w:r>
    <w:r>
      <w:rPr>
        <w:rFonts w:ascii="Calibri" w:hAnsi="Calibri" w:eastAsia="Calibri" w:cs="Calibri"/>
        <w:color w:val="5D687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80"/>
      <w:pBdr>
        <w:bottom w:val="single" w:sz="4" w:space="6" w:color="D7E0E8"/>
      </w:pBdr>
    </w:pPr>
    <w:r/>
    <w:r>
      <w:rPr>
        <w:rFonts w:ascii="Calibri" w:hAnsi="Calibri" w:eastAsia="Calibri" w:cs="Calibri"/>
        <w:b/>
        <w:color w:val="0B2545"/>
        <w:sz w:val="18"/>
      </w:rPr>
      <w:t>Trauma e tórax</w:t>
    </w:r>
    <w:r>
      <w:tab/>
    </w:r>
    <w:r>
      <w:rPr>
        <w:rFonts w:ascii="Calibri" w:hAnsi="Calibri" w:eastAsia="Calibri" w:cs="Calibri"/>
        <w:color w:val="5D6874"/>
        <w:sz w:val="18"/>
      </w:rPr>
      <w:t>Aula revisada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1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2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3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4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5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6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7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8">
      <w:numFmt w:val="bullet"/>
      <w:lvlText w:val=" "/>
      <w:lvlJc w:val="left"/>
      <w:pPr>
        <w:ind w:left="540" w:hanging="271"/>
        <w:tabs>
          <w:tab w:val="num" w:pos="540"/>
        </w:tabs>
        <w:spacing w:after="80" w:line="300" w:lineRule="auto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540" w:hanging="271"/>
        <w:tabs>
          <w:tab w:val="num" w:pos="540"/>
        </w:tabs>
        <w:spacing w:after="80" w:line="300" w:lineRule="auto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1">
      <w:start w:val="1"/>
      <w:numFmt w:val="decimal"/>
      <w:lvlText w:val="%2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2">
      <w:start w:val="1"/>
      <w:numFmt w:val="decimal"/>
      <w:lvlText w:val="%3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3">
      <w:start w:val="1"/>
      <w:numFmt w:val="decimal"/>
      <w:lvlText w:val="%4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4">
      <w:start w:val="1"/>
      <w:numFmt w:val="decimal"/>
      <w:lvlText w:val="%5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5">
      <w:start w:val="1"/>
      <w:numFmt w:val="decimal"/>
      <w:lvlText w:val="%6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6">
      <w:start w:val="1"/>
      <w:numFmt w:val="decimal"/>
      <w:lvlText w:val="%7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7">
      <w:start w:val="1"/>
      <w:numFmt w:val="decimal"/>
      <w:lvlText w:val="%8."/>
      <w:lvlJc w:val="left"/>
      <w:pPr>
        <w:ind w:left="540" w:hanging="271"/>
        <w:tabs>
          <w:tab w:val="num" w:pos="540"/>
        </w:tabs>
        <w:spacing w:after="80" w:line="300" w:lineRule="auto"/>
      </w:pPr>
    </w:lvl>
    <w:lvl w:ilvl="8">
      <w:start w:val="1"/>
      <w:numFmt w:val="decimal"/>
      <w:lvlText w:val="%9."/>
      <w:lvlJc w:val="left"/>
      <w:pPr>
        <w:ind w:left="540" w:hanging="271"/>
        <w:tabs>
          <w:tab w:val="num" w:pos="540"/>
        </w:tabs>
        <w:spacing w:after="80" w:line="300" w:lineRule="auto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updateFields w:val="true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Next w:val="0"/>
      <w:widowControl/>
      <w:spacing w:before="0" w:after="120" w:line="300" w:lineRule="auto"/>
    </w:pPr>
    <w:rPr>
      <w:rFonts w:ascii="Calibri" w:hAnsi="Calibri" w:eastAsia="Calibri" w:cs="Calibri"/>
      <w:b w:val="0"/>
      <w:color w:val="000000"/>
      <w:sz w:val="22"/>
    </w:rPr>
  </w:style>
  <w:style w:styleId="BodyText" w:type="paragraph">
    <w:name w:val="Body Text"/>
    <w:basedOn w:val="Normal"/>
    <w:link w:val="BodyTextChar"/>
    <w:qFormat/>
    <w:pPr>
      <w:keepNext w:val="0"/>
      <w:widowControl/>
      <w:spacing w:after="120" w:before="0" w:line="300" w:lineRule="auto"/>
    </w:pPr>
    <w:rPr>
      <w:rFonts w:ascii="Calibri" w:hAnsi="Calibri" w:eastAsia="Calibri" w:cs="Calibri"/>
      <w:b w:val="0"/>
      <w:color w:val="000000"/>
      <w:sz w:val="22"/>
    </w:rPr>
  </w:style>
  <w:style w:customStyle="1" w:styleId="FirstParagraph" w:type="paragraph">
    <w:name w:val="First Paragraph"/>
    <w:basedOn w:val="BodyText"/>
    <w:next w:val="BodyText"/>
    <w:qFormat/>
    <w:pPr>
      <w:keepNext w:val="0"/>
      <w:widowControl/>
      <w:spacing w:before="0" w:after="120" w:line="300" w:lineRule="auto"/>
    </w:pPr>
    <w:rPr>
      <w:rFonts w:ascii="Calibri" w:hAnsi="Calibri" w:eastAsia="Calibri" w:cs="Calibri"/>
      <w:b w:val="0"/>
      <w:color w:val="000000"/>
      <w:sz w:val="22"/>
    </w:rPr>
  </w:style>
  <w:style w:customStyle="1" w:styleId="Compact" w:type="paragraph">
    <w:name w:val="Compact"/>
    <w:basedOn w:val="BodyText"/>
    <w:qFormat/>
    <w:pPr>
      <w:keepNext w:val="0"/>
      <w:widowControl/>
      <w:spacing w:after="80" w:before="0" w:line="300" w:lineRule="auto"/>
    </w:pPr>
    <w:rPr>
      <w:rFonts w:ascii="Calibri" w:hAnsi="Calibri" w:eastAsia="Calibri" w:cs="Calibri"/>
      <w:b w:val="0"/>
      <w:color w:val="000000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 w:val="0"/>
      <w:widowControl/>
      <w:spacing w:after="160" w:line="240" w:lineRule="auto" w:before="0"/>
      <w:contextualSpacing/>
      <w:jc w:val="center"/>
    </w:pPr>
    <w:rPr>
      <w:rFonts w:asciiTheme="majorHAnsi" w:cstheme="majorBidi" w:eastAsiaTheme="majorEastAsia" w:hAnsiTheme="majorHAnsi" w:ascii="Calibri" w:hAnsi="Calibri" w:eastAsia="Calibri" w:cs="Calibri"/>
      <w:b/>
      <w:color w:val="0B2545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keepNext w:val="0"/>
      <w:widowControl/>
      <w:numPr>
        <w:ilvl w:val="1"/>
      </w:numPr>
      <w:spacing w:before="0" w:after="200" w:line="264" w:lineRule="auto"/>
    </w:pPr>
    <w:rPr>
      <w:rFonts w:cstheme="majorBidi" w:eastAsiaTheme="majorEastAsia" w:ascii="Calibri" w:hAnsi="Calibri" w:eastAsia="Calibri" w:cs="Calibri"/>
      <w:b w:val="0"/>
      <w:color w:val="5D6874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widowControl/>
      <w:spacing w:after="200" w:before="360" w:line="252" w:lineRule="auto"/>
      <w:outlineLvl w:val="0"/>
    </w:pPr>
    <w:rPr>
      <w:rFonts w:asciiTheme="majorHAnsi" w:cstheme="majorBidi" w:eastAsiaTheme="majorEastAsia" w:hAnsiTheme="majorHAnsi" w:ascii="Calibri" w:hAnsi="Calibri" w:eastAsia="Calibri" w:cs="Calibri"/>
      <w:b/>
      <w:color w:val="2E74B5"/>
      <w:sz w:val="3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widowControl/>
      <w:spacing w:after="140" w:before="280" w:line="264" w:lineRule="auto"/>
      <w:outlineLvl w:val="1"/>
    </w:pPr>
    <w:rPr>
      <w:rFonts w:asciiTheme="majorHAnsi" w:cstheme="majorBidi" w:eastAsiaTheme="majorEastAsia" w:hAnsiTheme="majorHAnsi" w:ascii="Calibri" w:hAnsi="Calibri" w:eastAsia="Calibri" w:cs="Calibri"/>
      <w:b/>
      <w:color w:val="2E74B5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widowControl/>
      <w:spacing w:after="100" w:before="200" w:line="264" w:lineRule="auto"/>
      <w:outlineLvl w:val="2"/>
    </w:pPr>
    <w:rPr>
      <w:rFonts w:cstheme="majorBidi" w:eastAsiaTheme="majorEastAsia" w:ascii="Calibri" w:hAnsi="Calibri" w:eastAsia="Calibri" w:cs="Calibri"/>
      <w:b/>
      <w:color w:val="1F4D78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widowControl/>
      <w:spacing w:after="80" w:before="160" w:line="264" w:lineRule="auto"/>
      <w:outlineLvl w:val="3"/>
    </w:pPr>
    <w:rPr>
      <w:rFonts w:cstheme="majorBidi" w:eastAsiaTheme="majorEastAsia" w:ascii="Calibri" w:hAnsi="Calibri" w:eastAsia="Calibri" w:cs="Calibri"/>
      <w:b/>
      <w:i/>
      <w:iCs/>
      <w:color w:val="0B2545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widowControl/>
      <w:spacing w:after="80" w:before="160" w:line="264" w:lineRule="auto"/>
      <w:outlineLvl w:val="4"/>
    </w:pPr>
    <w:rPr>
      <w:rFonts w:cstheme="majorBidi" w:eastAsiaTheme="majorEastAsia" w:ascii="Calibri" w:hAnsi="Calibri" w:eastAsia="Calibri" w:cs="Calibri"/>
      <w:b/>
      <w:color w:val="0B2545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widowControl/>
      <w:spacing w:after="80" w:before="160" w:line="264" w:lineRule="auto"/>
      <w:outlineLvl w:val="5"/>
    </w:pPr>
    <w:rPr>
      <w:rFonts w:cstheme="majorBidi" w:eastAsiaTheme="majorEastAsia" w:ascii="Calibri" w:hAnsi="Calibri" w:eastAsia="Calibri" w:cs="Calibri"/>
      <w:b/>
      <w:i/>
      <w:iCs/>
      <w:color w:val="0B2545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keepNext w:val="0"/>
      <w:widowControl/>
      <w:spacing w:after="160" w:before="0" w:line="276" w:lineRule="auto"/>
      <w:ind w:firstLine="0" w:left="480" w:right="480"/>
    </w:pPr>
    <w:rPr>
      <w:rFonts w:ascii="Calibri" w:hAnsi="Calibri" w:eastAsia="Calibri" w:cs="Calibri"/>
      <w:b w:val="0"/>
      <w:color w:val="0B2545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keepNext/>
      <w:widowControl/>
      <w:spacing w:before="0" w:line="240" w:lineRule="auto" w:after="240"/>
      <w:outlineLvl w:val="9"/>
    </w:pPr>
    <w:rPr>
      <w:rFonts w:asciiTheme="majorHAnsi" w:cstheme="majorBidi" w:eastAsiaTheme="majorEastAsia" w:hAnsiTheme="majorHAnsi" w:ascii="Calibri" w:hAnsi="Calibri" w:eastAsia="Calibri" w:cs="Calibri"/>
      <w:b/>
      <w:bCs w:val="0"/>
      <w:color w:val="0B2545"/>
      <w:sz w:val="3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  <w:style w:type="paragraph" w:customStyle="1" w:styleId="MedKicker">
    <w:name w:val="Med Kicker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/>
      <w:color w:val="9A6B00"/>
      <w:sz w:val="19"/>
    </w:rPr>
  </w:style>
  <w:style w:type="paragraph" w:customStyle="1" w:styleId="MedMetadata">
    <w:name w:val="Med Metadata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 w:val="0"/>
      <w:color w:val="5D6874"/>
      <w:sz w:val="20"/>
    </w:rPr>
  </w:style>
  <w:style w:type="paragraph" w:customStyle="1" w:styleId="MedCallout">
    <w:name w:val="Med Callout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 w:val="0"/>
      <w:color w:val="0B2545"/>
      <w:sz w:val="21"/>
    </w:rPr>
  </w:style>
  <w:style w:type="paragraph" w:customStyle="1" w:styleId="MedCaption">
    <w:name w:val="Med Caption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 w:val="0"/>
      <w:color w:val="5D6874"/>
      <w:sz w:val="18"/>
    </w:rPr>
  </w:style>
  <w:style w:type="paragraph" w:customStyle="1" w:styleId="MedTOC1">
    <w:name w:val="Med TOC 1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/>
      <w:color w:val="0B2545"/>
      <w:sz w:val="23"/>
    </w:rPr>
  </w:style>
  <w:style w:type="paragraph" w:customStyle="1" w:styleId="MedTOC2">
    <w:name w:val="Med TOC 2"/>
    <w:basedOn w:val="Normal"/>
    <w:pPr>
      <w:keepNext w:val="0"/>
      <w:widowControl/>
      <w:spacing w:before="0" w:after="120" w:line="276" w:lineRule="auto"/>
    </w:pPr>
    <w:rPr>
      <w:rFonts w:ascii="Calibri" w:hAnsi="Calibri" w:eastAsia="Calibri" w:cs="Calibri"/>
      <w:b w:val="0"/>
      <w:color w:val="1F4D78"/>
      <w:sz w:val="2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ttps://notebook.google.com/notebook/3996edf9-c2bf-4da8-a564-0404d007e438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ttps://notebook.google.com/notebook/3996edf9-c2bf-4da8-a564-0404d007e4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revisão — seis temas torácicos</dc:title>
  <dc:creator>Caderno Zen On</dc:creator>
  <cp:keywords>medicina; aula revisada; Trauma e tórax; compact_reference_guide</cp:keywords>
  <dcterms:created xsi:type="dcterms:W3CDTF">2026-09-16T14:00:06Z</dcterms:created>
  <dcterms:modified xsi:type="dcterms:W3CDTF">2026-09-16T14:00:06Z</dcterms:modified>
  <dc:subject>Trauma e tórax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_page_break_before">
    <vt:lpwstr>1. Traqueostomia|2. Trauma torácico|3. Derrame pleural|4. Neoplasia de pulmão|5. Pneumotórax|6. Anatomia e radiologia do pulmão|Revisão programada do conjunto</vt:lpwstr>
  </property>
  <property fmtid="{D5CDD505-2E9C-101B-9397-08002B2CF9AE}" pid="3" name="docx_toc">
    <vt:lpwstr>True</vt:lpwstr>
  </property>
  <property fmtid="{D5CDD505-2E9C-101B-9397-08002B2CF9AE}" pid="4" name="materia">
    <vt:lpwstr>Trauma e tórax</vt:lpwstr>
  </property>
  <property fmtid="{D5CDD505-2E9C-101B-9397-08002B2CF9AE}" pid="5" name="revisao">
    <vt:lpwstr>16/09/2026</vt:lpwstr>
  </property>
  <property fmtid="{D5CDD505-2E9C-101B-9397-08002B2CF9AE}" pid="6" name="semestre">
    <vt:lpwstr>2026.2</vt:lpwstr>
  </property>
</Properties>
</file>